
<file path=[Content_Types].xml><?xml version="1.0" encoding="utf-8"?>
<Types xmlns="http://schemas.openxmlformats.org/package/2006/content-types">
  <Default Extension="png" ContentType="image/png"/>
  <Default Extension="jfif" ContentType="image/jpe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95C" w14:textId="77777777" w:rsidR="001C3837" w:rsidRDefault="001C3837" w:rsidP="008A22C6"/>
    <w:p w14:paraId="391B3CDF" w14:textId="77777777" w:rsidR="001C3837" w:rsidRDefault="001C3837" w:rsidP="008A22C6"/>
    <w:p w14:paraId="64FB17AB" w14:textId="77777777" w:rsidR="001C3837" w:rsidRPr="001C3837" w:rsidRDefault="001C3837" w:rsidP="001C3837">
      <w:pPr>
        <w:pStyle w:val="IntenseQuote"/>
        <w:rPr>
          <w:rStyle w:val="IntenseReference"/>
        </w:rPr>
      </w:pPr>
      <w:r w:rsidRPr="001C3837">
        <w:rPr>
          <w:rStyle w:val="IntenseReference"/>
        </w:rPr>
        <w:t xml:space="preserve">Oxford City Council Corporate Procurement Strategy </w:t>
      </w:r>
      <w:r w:rsidRPr="001C3837">
        <w:rPr>
          <w:rStyle w:val="IntenseReference"/>
        </w:rPr>
        <w:br/>
      </w:r>
      <w:r w:rsidR="002875F7">
        <w:rPr>
          <w:rStyle w:val="IntenseReference"/>
        </w:rPr>
        <w:t>November</w:t>
      </w:r>
      <w:r w:rsidRPr="001C3837">
        <w:rPr>
          <w:rStyle w:val="IntenseReference"/>
        </w:rPr>
        <w:t xml:space="preserve"> 2022 – </w:t>
      </w:r>
      <w:r w:rsidR="002875F7">
        <w:rPr>
          <w:rStyle w:val="IntenseReference"/>
        </w:rPr>
        <w:t>October</w:t>
      </w:r>
      <w:r w:rsidRPr="001C3837">
        <w:rPr>
          <w:rStyle w:val="IntenseReference"/>
        </w:rPr>
        <w:t xml:space="preserve"> 2025</w:t>
      </w:r>
    </w:p>
    <w:p w14:paraId="0FC7E11A" w14:textId="052AA109" w:rsidR="001C3837" w:rsidRPr="001C3837" w:rsidRDefault="001C3837" w:rsidP="00BC115B">
      <w:pPr>
        <w:tabs>
          <w:tab w:val="left" w:pos="3370"/>
        </w:tabs>
        <w:rPr>
          <w:rStyle w:val="IntenseReference"/>
        </w:rPr>
      </w:pPr>
      <w:r w:rsidRPr="001C3837">
        <w:rPr>
          <w:rStyle w:val="IntenseReference"/>
        </w:rPr>
        <w:t xml:space="preserve">Version: </w:t>
      </w:r>
      <w:r w:rsidR="00BC115B">
        <w:rPr>
          <w:rStyle w:val="IntenseReference"/>
        </w:rPr>
        <w:t>5.</w:t>
      </w:r>
      <w:r w:rsidR="002046B7">
        <w:rPr>
          <w:rStyle w:val="IntenseReference"/>
        </w:rPr>
        <w:t>8</w:t>
      </w:r>
      <w:r w:rsidR="00BC115B">
        <w:rPr>
          <w:rStyle w:val="IntenseReference"/>
        </w:rPr>
        <w:tab/>
      </w:r>
    </w:p>
    <w:p w14:paraId="02135E18" w14:textId="77777777" w:rsidR="001C3837" w:rsidRDefault="001C3837" w:rsidP="008A22C6"/>
    <w:p w14:paraId="3C0D624F" w14:textId="77777777" w:rsidR="003E0AAD" w:rsidRDefault="001C3837" w:rsidP="001C3837">
      <w:pPr>
        <w:jc w:val="right"/>
      </w:pPr>
      <w:r w:rsidRPr="00043D2B">
        <w:rPr>
          <w:b/>
          <w:noProof/>
          <w:color w:val="374C80" w:themeColor="accent1" w:themeShade="BF"/>
          <w:sz w:val="32"/>
          <w:szCs w:val="32"/>
          <w:lang w:eastAsia="en-GB"/>
        </w:rPr>
        <w:drawing>
          <wp:inline distT="0" distB="0" distL="0" distR="0" wp14:anchorId="4468FAE0" wp14:editId="0A6D30B4">
            <wp:extent cx="5720910" cy="2722880"/>
            <wp:effectExtent l="0" t="0" r="0" b="1270"/>
            <wp:docPr id="4" name="Picture 7" descr="Image result for oxford city council">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9E52793-3BBE-464C-B4BC-D507AA039E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mage result for oxford city council">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9E52793-3BBE-464C-B4BC-D507AA039EA9}"/>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6755"/>
                    <a:stretch/>
                  </pic:blipFill>
                  <pic:spPr bwMode="auto">
                    <a:xfrm>
                      <a:off x="0" y="0"/>
                      <a:ext cx="5897965" cy="2807150"/>
                    </a:xfrm>
                    <a:custGeom>
                      <a:avLst/>
                      <a:gdLst/>
                      <a:ahLst/>
                      <a:cxnLst/>
                      <a:rect l="l" t="t" r="r" b="b"/>
                      <a:pathLst>
                        <a:path w="7308975" h="3364992">
                          <a:moveTo>
                            <a:pt x="1210305" y="0"/>
                          </a:moveTo>
                          <a:lnTo>
                            <a:pt x="7308975" y="0"/>
                          </a:lnTo>
                          <a:lnTo>
                            <a:pt x="7308975" y="3364992"/>
                          </a:lnTo>
                          <a:lnTo>
                            <a:pt x="0" y="3364992"/>
                          </a:lnTo>
                          <a:lnTo>
                            <a:pt x="62981" y="3295722"/>
                          </a:lnTo>
                          <a:cubicBezTo>
                            <a:pt x="684692" y="2543371"/>
                            <a:pt x="1098874" y="1539884"/>
                            <a:pt x="1192705" y="421793"/>
                          </a:cubicBezTo>
                          <a:close/>
                        </a:path>
                      </a:pathLst>
                    </a:custGeom>
                    <a:noFill/>
                    <a:extLst/>
                  </pic:spPr>
                </pic:pic>
              </a:graphicData>
            </a:graphic>
          </wp:inline>
        </w:drawing>
      </w:r>
      <w:r w:rsidRPr="00043D2B">
        <w:rPr>
          <w:b/>
          <w:noProof/>
          <w:color w:val="374C80" w:themeColor="accent1" w:themeShade="BF"/>
          <w:sz w:val="32"/>
          <w:szCs w:val="32"/>
          <w:lang w:eastAsia="en-GB"/>
        </w:rPr>
        <w:drawing>
          <wp:inline distT="0" distB="0" distL="0" distR="0" wp14:anchorId="19F22E41" wp14:editId="7AE52450">
            <wp:extent cx="5720540" cy="2957195"/>
            <wp:effectExtent l="0" t="0" r="0" b="0"/>
            <wp:docPr id="10245" name="Picture 5" descr="Image result for oxford city council">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170B3DF-BFA0-4790-9565-6D4C11884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5" descr="Image result for oxford city council">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170B3DF-BFA0-4790-9565-6D4C118847BB}"/>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4512" r="2" b="2"/>
                    <a:stretch/>
                  </pic:blipFill>
                  <pic:spPr bwMode="auto">
                    <a:xfrm>
                      <a:off x="0" y="0"/>
                      <a:ext cx="5853350" cy="3025850"/>
                    </a:xfrm>
                    <a:custGeom>
                      <a:avLst/>
                      <a:gdLst/>
                      <a:ahLst/>
                      <a:cxnLst/>
                      <a:rect l="l" t="t" r="r" b="b"/>
                      <a:pathLst>
                        <a:path w="7308975" h="3364992">
                          <a:moveTo>
                            <a:pt x="0" y="0"/>
                          </a:moveTo>
                          <a:lnTo>
                            <a:pt x="7308975" y="0"/>
                          </a:lnTo>
                          <a:lnTo>
                            <a:pt x="7308975" y="3364992"/>
                          </a:lnTo>
                          <a:lnTo>
                            <a:pt x="1210305" y="3364992"/>
                          </a:lnTo>
                          <a:lnTo>
                            <a:pt x="1192705" y="2943200"/>
                          </a:lnTo>
                          <a:cubicBezTo>
                            <a:pt x="1098874" y="1825108"/>
                            <a:pt x="684692" y="821621"/>
                            <a:pt x="62981" y="69271"/>
                          </a:cubicBezTo>
                          <a:close/>
                        </a:path>
                      </a:pathLst>
                    </a:custGeom>
                    <a:noFill/>
                    <a:extLst/>
                  </pic:spPr>
                </pic:pic>
              </a:graphicData>
            </a:graphic>
          </wp:inline>
        </w:drawing>
      </w:r>
    </w:p>
    <w:p w14:paraId="68815541" w14:textId="77777777" w:rsidR="003E0AAD" w:rsidRDefault="003E0AAD">
      <w:r>
        <w:br w:type="page"/>
      </w:r>
    </w:p>
    <w:p w14:paraId="44B08650" w14:textId="77777777" w:rsidR="002875F7" w:rsidRPr="001C3837" w:rsidRDefault="002875F7" w:rsidP="002875F7">
      <w:pPr>
        <w:pStyle w:val="IntenseQuote"/>
        <w:rPr>
          <w:rStyle w:val="IntenseReference"/>
        </w:rPr>
      </w:pPr>
      <w:r>
        <w:rPr>
          <w:rStyle w:val="IntenseReference"/>
        </w:rPr>
        <w:lastRenderedPageBreak/>
        <w:t>Content</w:t>
      </w:r>
    </w:p>
    <w:p w14:paraId="431D93E3" w14:textId="77777777" w:rsidR="002875F7" w:rsidRDefault="002875F7" w:rsidP="001C3837">
      <w:pPr>
        <w:jc w:val="right"/>
      </w:pPr>
    </w:p>
    <w:sdt>
      <w:sdtPr>
        <w:rPr>
          <w:caps w:val="0"/>
          <w:color w:val="auto"/>
          <w:spacing w:val="0"/>
          <w:sz w:val="20"/>
          <w:szCs w:val="20"/>
        </w:rPr>
        <w:id w:val="-508603934"/>
        <w:docPartObj>
          <w:docPartGallery w:val="Table of Contents"/>
          <w:docPartUnique/>
        </w:docPartObj>
      </w:sdtPr>
      <w:sdtEndPr>
        <w:rPr>
          <w:b/>
          <w:bCs/>
          <w:noProof/>
        </w:rPr>
      </w:sdtEndPr>
      <w:sdtContent>
        <w:p w14:paraId="60BF49B9" w14:textId="77777777" w:rsidR="007C5C7A" w:rsidRDefault="007C5C7A">
          <w:pPr>
            <w:pStyle w:val="TOCHeading"/>
          </w:pPr>
          <w:r>
            <w:t>Conte</w:t>
          </w:r>
          <w:bookmarkStart w:id="0" w:name="_GoBack"/>
          <w:bookmarkEnd w:id="0"/>
          <w:r>
            <w:t>nts</w:t>
          </w:r>
        </w:p>
        <w:p w14:paraId="332160DE" w14:textId="77777777" w:rsidR="008D7D79" w:rsidRDefault="007C5C7A">
          <w:pPr>
            <w:pStyle w:val="TOC1"/>
            <w:rPr>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17766911" w:history="1">
            <w:r w:rsidR="008D7D79" w:rsidRPr="00585A3F">
              <w:rPr>
                <w:rStyle w:val="Hyperlink"/>
                <w:noProof/>
              </w:rPr>
              <w:t>1. Background</w:t>
            </w:r>
            <w:r w:rsidR="008D7D79">
              <w:rPr>
                <w:noProof/>
                <w:webHidden/>
              </w:rPr>
              <w:tab/>
            </w:r>
            <w:r w:rsidR="008D7D79">
              <w:rPr>
                <w:noProof/>
                <w:webHidden/>
              </w:rPr>
              <w:fldChar w:fldCharType="begin"/>
            </w:r>
            <w:r w:rsidR="008D7D79">
              <w:rPr>
                <w:noProof/>
                <w:webHidden/>
              </w:rPr>
              <w:instrText xml:space="preserve"> PAGEREF _Toc117766911 \h </w:instrText>
            </w:r>
            <w:r w:rsidR="008D7D79">
              <w:rPr>
                <w:noProof/>
                <w:webHidden/>
              </w:rPr>
            </w:r>
            <w:r w:rsidR="008D7D79">
              <w:rPr>
                <w:noProof/>
                <w:webHidden/>
              </w:rPr>
              <w:fldChar w:fldCharType="separate"/>
            </w:r>
            <w:r w:rsidR="008D7D79">
              <w:rPr>
                <w:noProof/>
                <w:webHidden/>
              </w:rPr>
              <w:t>4</w:t>
            </w:r>
            <w:r w:rsidR="008D7D79">
              <w:rPr>
                <w:noProof/>
                <w:webHidden/>
              </w:rPr>
              <w:fldChar w:fldCharType="end"/>
            </w:r>
          </w:hyperlink>
        </w:p>
        <w:p w14:paraId="228DFC8B" w14:textId="77777777" w:rsidR="008D7D79" w:rsidRDefault="008D7D79">
          <w:pPr>
            <w:pStyle w:val="TOC2"/>
            <w:tabs>
              <w:tab w:val="right" w:leader="dot" w:pos="9016"/>
            </w:tabs>
            <w:rPr>
              <w:noProof/>
              <w:sz w:val="22"/>
              <w:szCs w:val="22"/>
              <w:lang w:eastAsia="en-GB"/>
            </w:rPr>
          </w:pPr>
          <w:hyperlink w:anchor="_Toc117766912" w:history="1">
            <w:r w:rsidRPr="00585A3F">
              <w:rPr>
                <w:rStyle w:val="Hyperlink"/>
                <w:rFonts w:ascii="Calibri" w:hAnsi="Calibri" w:cs="Calibri"/>
                <w:bCs/>
                <w:noProof/>
              </w:rPr>
              <w:t>1.1 S</w:t>
            </w:r>
            <w:r w:rsidRPr="00585A3F">
              <w:rPr>
                <w:rStyle w:val="Hyperlink"/>
                <w:noProof/>
              </w:rPr>
              <w:t>uccess to build on as a result of the first iteration of the procurement Strategy relating to Social, equalities and environmental impacts.</w:t>
            </w:r>
            <w:r>
              <w:rPr>
                <w:noProof/>
                <w:webHidden/>
              </w:rPr>
              <w:tab/>
            </w:r>
            <w:r>
              <w:rPr>
                <w:noProof/>
                <w:webHidden/>
              </w:rPr>
              <w:fldChar w:fldCharType="begin"/>
            </w:r>
            <w:r>
              <w:rPr>
                <w:noProof/>
                <w:webHidden/>
              </w:rPr>
              <w:instrText xml:space="preserve"> PAGEREF _Toc117766912 \h </w:instrText>
            </w:r>
            <w:r>
              <w:rPr>
                <w:noProof/>
                <w:webHidden/>
              </w:rPr>
            </w:r>
            <w:r>
              <w:rPr>
                <w:noProof/>
                <w:webHidden/>
              </w:rPr>
              <w:fldChar w:fldCharType="separate"/>
            </w:r>
            <w:r>
              <w:rPr>
                <w:noProof/>
                <w:webHidden/>
              </w:rPr>
              <w:t>4</w:t>
            </w:r>
            <w:r>
              <w:rPr>
                <w:noProof/>
                <w:webHidden/>
              </w:rPr>
              <w:fldChar w:fldCharType="end"/>
            </w:r>
          </w:hyperlink>
        </w:p>
        <w:p w14:paraId="3C1E1672" w14:textId="77777777" w:rsidR="008D7D79" w:rsidRDefault="008D7D79">
          <w:pPr>
            <w:pStyle w:val="TOC3"/>
            <w:tabs>
              <w:tab w:val="right" w:leader="dot" w:pos="9016"/>
            </w:tabs>
            <w:rPr>
              <w:noProof/>
              <w:sz w:val="22"/>
              <w:szCs w:val="22"/>
              <w:lang w:eastAsia="en-GB"/>
            </w:rPr>
          </w:pPr>
          <w:hyperlink w:anchor="_Toc117766913" w:history="1">
            <w:r w:rsidRPr="00585A3F">
              <w:rPr>
                <w:rStyle w:val="Hyperlink"/>
                <w:noProof/>
              </w:rPr>
              <w:t>2020-21</w:t>
            </w:r>
            <w:r>
              <w:rPr>
                <w:noProof/>
                <w:webHidden/>
              </w:rPr>
              <w:tab/>
            </w:r>
            <w:r>
              <w:rPr>
                <w:noProof/>
                <w:webHidden/>
              </w:rPr>
              <w:fldChar w:fldCharType="begin"/>
            </w:r>
            <w:r>
              <w:rPr>
                <w:noProof/>
                <w:webHidden/>
              </w:rPr>
              <w:instrText xml:space="preserve"> PAGEREF _Toc117766913 \h </w:instrText>
            </w:r>
            <w:r>
              <w:rPr>
                <w:noProof/>
                <w:webHidden/>
              </w:rPr>
            </w:r>
            <w:r>
              <w:rPr>
                <w:noProof/>
                <w:webHidden/>
              </w:rPr>
              <w:fldChar w:fldCharType="separate"/>
            </w:r>
            <w:r>
              <w:rPr>
                <w:noProof/>
                <w:webHidden/>
              </w:rPr>
              <w:t>4</w:t>
            </w:r>
            <w:r>
              <w:rPr>
                <w:noProof/>
                <w:webHidden/>
              </w:rPr>
              <w:fldChar w:fldCharType="end"/>
            </w:r>
          </w:hyperlink>
        </w:p>
        <w:p w14:paraId="694FE4DC" w14:textId="77777777" w:rsidR="008D7D79" w:rsidRDefault="008D7D79">
          <w:pPr>
            <w:pStyle w:val="TOC3"/>
            <w:tabs>
              <w:tab w:val="right" w:leader="dot" w:pos="9016"/>
            </w:tabs>
            <w:rPr>
              <w:noProof/>
              <w:sz w:val="22"/>
              <w:szCs w:val="22"/>
              <w:lang w:eastAsia="en-GB"/>
            </w:rPr>
          </w:pPr>
          <w:hyperlink w:anchor="_Toc117766914" w:history="1">
            <w:r w:rsidRPr="00585A3F">
              <w:rPr>
                <w:rStyle w:val="Hyperlink"/>
                <w:noProof/>
              </w:rPr>
              <w:t>2021 – 2022</w:t>
            </w:r>
            <w:r>
              <w:rPr>
                <w:noProof/>
                <w:webHidden/>
              </w:rPr>
              <w:tab/>
            </w:r>
            <w:r>
              <w:rPr>
                <w:noProof/>
                <w:webHidden/>
              </w:rPr>
              <w:fldChar w:fldCharType="begin"/>
            </w:r>
            <w:r>
              <w:rPr>
                <w:noProof/>
                <w:webHidden/>
              </w:rPr>
              <w:instrText xml:space="preserve"> PAGEREF _Toc117766914 \h </w:instrText>
            </w:r>
            <w:r>
              <w:rPr>
                <w:noProof/>
                <w:webHidden/>
              </w:rPr>
            </w:r>
            <w:r>
              <w:rPr>
                <w:noProof/>
                <w:webHidden/>
              </w:rPr>
              <w:fldChar w:fldCharType="separate"/>
            </w:r>
            <w:r>
              <w:rPr>
                <w:noProof/>
                <w:webHidden/>
              </w:rPr>
              <w:t>4</w:t>
            </w:r>
            <w:r>
              <w:rPr>
                <w:noProof/>
                <w:webHidden/>
              </w:rPr>
              <w:fldChar w:fldCharType="end"/>
            </w:r>
          </w:hyperlink>
        </w:p>
        <w:p w14:paraId="390BB6C5" w14:textId="77777777" w:rsidR="008D7D79" w:rsidRDefault="008D7D79">
          <w:pPr>
            <w:pStyle w:val="TOC1"/>
            <w:rPr>
              <w:noProof/>
              <w:sz w:val="22"/>
              <w:szCs w:val="22"/>
              <w:lang w:eastAsia="en-GB"/>
            </w:rPr>
          </w:pPr>
          <w:hyperlink w:anchor="_Toc117766915" w:history="1">
            <w:r w:rsidRPr="00585A3F">
              <w:rPr>
                <w:rStyle w:val="Hyperlink"/>
                <w:noProof/>
              </w:rPr>
              <w:t>2. Setting the Scene for Procurement</w:t>
            </w:r>
            <w:r>
              <w:rPr>
                <w:noProof/>
                <w:webHidden/>
              </w:rPr>
              <w:tab/>
            </w:r>
            <w:r>
              <w:rPr>
                <w:noProof/>
                <w:webHidden/>
              </w:rPr>
              <w:fldChar w:fldCharType="begin"/>
            </w:r>
            <w:r>
              <w:rPr>
                <w:noProof/>
                <w:webHidden/>
              </w:rPr>
              <w:instrText xml:space="preserve"> PAGEREF _Toc117766915 \h </w:instrText>
            </w:r>
            <w:r>
              <w:rPr>
                <w:noProof/>
                <w:webHidden/>
              </w:rPr>
            </w:r>
            <w:r>
              <w:rPr>
                <w:noProof/>
                <w:webHidden/>
              </w:rPr>
              <w:fldChar w:fldCharType="separate"/>
            </w:r>
            <w:r>
              <w:rPr>
                <w:noProof/>
                <w:webHidden/>
              </w:rPr>
              <w:t>5</w:t>
            </w:r>
            <w:r>
              <w:rPr>
                <w:noProof/>
                <w:webHidden/>
              </w:rPr>
              <w:fldChar w:fldCharType="end"/>
            </w:r>
          </w:hyperlink>
        </w:p>
        <w:p w14:paraId="116F7E28" w14:textId="77777777" w:rsidR="008D7D79" w:rsidRDefault="008D7D79">
          <w:pPr>
            <w:pStyle w:val="TOC2"/>
            <w:tabs>
              <w:tab w:val="right" w:leader="dot" w:pos="9016"/>
            </w:tabs>
            <w:rPr>
              <w:noProof/>
              <w:sz w:val="22"/>
              <w:szCs w:val="22"/>
              <w:lang w:eastAsia="en-GB"/>
            </w:rPr>
          </w:pPr>
          <w:hyperlink w:anchor="_Toc117766916" w:history="1">
            <w:r w:rsidRPr="00585A3F">
              <w:rPr>
                <w:rStyle w:val="Hyperlink"/>
                <w:noProof/>
              </w:rPr>
              <w:t>2.1 Overview</w:t>
            </w:r>
            <w:r>
              <w:rPr>
                <w:noProof/>
                <w:webHidden/>
              </w:rPr>
              <w:tab/>
            </w:r>
            <w:r>
              <w:rPr>
                <w:noProof/>
                <w:webHidden/>
              </w:rPr>
              <w:fldChar w:fldCharType="begin"/>
            </w:r>
            <w:r>
              <w:rPr>
                <w:noProof/>
                <w:webHidden/>
              </w:rPr>
              <w:instrText xml:space="preserve"> PAGEREF _Toc117766916 \h </w:instrText>
            </w:r>
            <w:r>
              <w:rPr>
                <w:noProof/>
                <w:webHidden/>
              </w:rPr>
            </w:r>
            <w:r>
              <w:rPr>
                <w:noProof/>
                <w:webHidden/>
              </w:rPr>
              <w:fldChar w:fldCharType="separate"/>
            </w:r>
            <w:r>
              <w:rPr>
                <w:noProof/>
                <w:webHidden/>
              </w:rPr>
              <w:t>5</w:t>
            </w:r>
            <w:r>
              <w:rPr>
                <w:noProof/>
                <w:webHidden/>
              </w:rPr>
              <w:fldChar w:fldCharType="end"/>
            </w:r>
          </w:hyperlink>
        </w:p>
        <w:p w14:paraId="7D478F28" w14:textId="77777777" w:rsidR="008D7D79" w:rsidRDefault="008D7D79">
          <w:pPr>
            <w:pStyle w:val="TOC1"/>
            <w:rPr>
              <w:noProof/>
              <w:sz w:val="22"/>
              <w:szCs w:val="22"/>
              <w:lang w:eastAsia="en-GB"/>
            </w:rPr>
          </w:pPr>
          <w:hyperlink w:anchor="_Toc117766917" w:history="1">
            <w:r w:rsidRPr="00585A3F">
              <w:rPr>
                <w:rStyle w:val="Hyperlink"/>
                <w:noProof/>
              </w:rPr>
              <w:t>3. Setting the Direction for Procurement</w:t>
            </w:r>
            <w:r>
              <w:rPr>
                <w:noProof/>
                <w:webHidden/>
              </w:rPr>
              <w:tab/>
            </w:r>
            <w:r>
              <w:rPr>
                <w:noProof/>
                <w:webHidden/>
              </w:rPr>
              <w:fldChar w:fldCharType="begin"/>
            </w:r>
            <w:r>
              <w:rPr>
                <w:noProof/>
                <w:webHidden/>
              </w:rPr>
              <w:instrText xml:space="preserve"> PAGEREF _Toc117766917 \h </w:instrText>
            </w:r>
            <w:r>
              <w:rPr>
                <w:noProof/>
                <w:webHidden/>
              </w:rPr>
            </w:r>
            <w:r>
              <w:rPr>
                <w:noProof/>
                <w:webHidden/>
              </w:rPr>
              <w:fldChar w:fldCharType="separate"/>
            </w:r>
            <w:r>
              <w:rPr>
                <w:noProof/>
                <w:webHidden/>
              </w:rPr>
              <w:t>6</w:t>
            </w:r>
            <w:r>
              <w:rPr>
                <w:noProof/>
                <w:webHidden/>
              </w:rPr>
              <w:fldChar w:fldCharType="end"/>
            </w:r>
          </w:hyperlink>
        </w:p>
        <w:p w14:paraId="3D4BEE70" w14:textId="77777777" w:rsidR="008D7D79" w:rsidRDefault="008D7D79">
          <w:pPr>
            <w:pStyle w:val="TOC2"/>
            <w:tabs>
              <w:tab w:val="right" w:leader="dot" w:pos="9016"/>
            </w:tabs>
            <w:rPr>
              <w:noProof/>
              <w:sz w:val="22"/>
              <w:szCs w:val="22"/>
              <w:lang w:eastAsia="en-GB"/>
            </w:rPr>
          </w:pPr>
          <w:hyperlink w:anchor="_Toc117766918" w:history="1">
            <w:r w:rsidRPr="00585A3F">
              <w:rPr>
                <w:rStyle w:val="Hyperlink"/>
                <w:noProof/>
              </w:rPr>
              <w:t>3.1 Our Purpose</w:t>
            </w:r>
            <w:r>
              <w:rPr>
                <w:noProof/>
                <w:webHidden/>
              </w:rPr>
              <w:tab/>
            </w:r>
            <w:r>
              <w:rPr>
                <w:noProof/>
                <w:webHidden/>
              </w:rPr>
              <w:fldChar w:fldCharType="begin"/>
            </w:r>
            <w:r>
              <w:rPr>
                <w:noProof/>
                <w:webHidden/>
              </w:rPr>
              <w:instrText xml:space="preserve"> PAGEREF _Toc117766918 \h </w:instrText>
            </w:r>
            <w:r>
              <w:rPr>
                <w:noProof/>
                <w:webHidden/>
              </w:rPr>
            </w:r>
            <w:r>
              <w:rPr>
                <w:noProof/>
                <w:webHidden/>
              </w:rPr>
              <w:fldChar w:fldCharType="separate"/>
            </w:r>
            <w:r>
              <w:rPr>
                <w:noProof/>
                <w:webHidden/>
              </w:rPr>
              <w:t>6</w:t>
            </w:r>
            <w:r>
              <w:rPr>
                <w:noProof/>
                <w:webHidden/>
              </w:rPr>
              <w:fldChar w:fldCharType="end"/>
            </w:r>
          </w:hyperlink>
        </w:p>
        <w:p w14:paraId="250710BC" w14:textId="77777777" w:rsidR="008D7D79" w:rsidRDefault="008D7D79">
          <w:pPr>
            <w:pStyle w:val="TOC2"/>
            <w:tabs>
              <w:tab w:val="right" w:leader="dot" w:pos="9016"/>
            </w:tabs>
            <w:rPr>
              <w:noProof/>
              <w:sz w:val="22"/>
              <w:szCs w:val="22"/>
              <w:lang w:eastAsia="en-GB"/>
            </w:rPr>
          </w:pPr>
          <w:hyperlink w:anchor="_Toc117766919" w:history="1">
            <w:r w:rsidRPr="00585A3F">
              <w:rPr>
                <w:rStyle w:val="Hyperlink"/>
                <w:noProof/>
              </w:rPr>
              <w:t>3.2 Ambition</w:t>
            </w:r>
            <w:r>
              <w:rPr>
                <w:noProof/>
                <w:webHidden/>
              </w:rPr>
              <w:tab/>
            </w:r>
            <w:r>
              <w:rPr>
                <w:noProof/>
                <w:webHidden/>
              </w:rPr>
              <w:fldChar w:fldCharType="begin"/>
            </w:r>
            <w:r>
              <w:rPr>
                <w:noProof/>
                <w:webHidden/>
              </w:rPr>
              <w:instrText xml:space="preserve"> PAGEREF _Toc117766919 \h </w:instrText>
            </w:r>
            <w:r>
              <w:rPr>
                <w:noProof/>
                <w:webHidden/>
              </w:rPr>
            </w:r>
            <w:r>
              <w:rPr>
                <w:noProof/>
                <w:webHidden/>
              </w:rPr>
              <w:fldChar w:fldCharType="separate"/>
            </w:r>
            <w:r>
              <w:rPr>
                <w:noProof/>
                <w:webHidden/>
              </w:rPr>
              <w:t>7</w:t>
            </w:r>
            <w:r>
              <w:rPr>
                <w:noProof/>
                <w:webHidden/>
              </w:rPr>
              <w:fldChar w:fldCharType="end"/>
            </w:r>
          </w:hyperlink>
        </w:p>
        <w:p w14:paraId="1B19D22B" w14:textId="77777777" w:rsidR="008D7D79" w:rsidRDefault="008D7D79">
          <w:pPr>
            <w:pStyle w:val="TOC2"/>
            <w:tabs>
              <w:tab w:val="right" w:leader="dot" w:pos="9016"/>
            </w:tabs>
            <w:rPr>
              <w:noProof/>
              <w:sz w:val="22"/>
              <w:szCs w:val="22"/>
              <w:lang w:eastAsia="en-GB"/>
            </w:rPr>
          </w:pPr>
          <w:hyperlink w:anchor="_Toc117766920" w:history="1">
            <w:r w:rsidRPr="00585A3F">
              <w:rPr>
                <w:rStyle w:val="Hyperlink"/>
                <w:noProof/>
              </w:rPr>
              <w:t>3.3 Vision</w:t>
            </w:r>
            <w:r>
              <w:rPr>
                <w:noProof/>
                <w:webHidden/>
              </w:rPr>
              <w:tab/>
            </w:r>
            <w:r>
              <w:rPr>
                <w:noProof/>
                <w:webHidden/>
              </w:rPr>
              <w:fldChar w:fldCharType="begin"/>
            </w:r>
            <w:r>
              <w:rPr>
                <w:noProof/>
                <w:webHidden/>
              </w:rPr>
              <w:instrText xml:space="preserve"> PAGEREF _Toc117766920 \h </w:instrText>
            </w:r>
            <w:r>
              <w:rPr>
                <w:noProof/>
                <w:webHidden/>
              </w:rPr>
            </w:r>
            <w:r>
              <w:rPr>
                <w:noProof/>
                <w:webHidden/>
              </w:rPr>
              <w:fldChar w:fldCharType="separate"/>
            </w:r>
            <w:r>
              <w:rPr>
                <w:noProof/>
                <w:webHidden/>
              </w:rPr>
              <w:t>7</w:t>
            </w:r>
            <w:r>
              <w:rPr>
                <w:noProof/>
                <w:webHidden/>
              </w:rPr>
              <w:fldChar w:fldCharType="end"/>
            </w:r>
          </w:hyperlink>
        </w:p>
        <w:p w14:paraId="48A0753E" w14:textId="77777777" w:rsidR="008D7D79" w:rsidRDefault="008D7D79">
          <w:pPr>
            <w:pStyle w:val="TOC1"/>
            <w:rPr>
              <w:noProof/>
              <w:sz w:val="22"/>
              <w:szCs w:val="22"/>
              <w:lang w:eastAsia="en-GB"/>
            </w:rPr>
          </w:pPr>
          <w:hyperlink w:anchor="_Toc117766921" w:history="1">
            <w:r w:rsidRPr="00585A3F">
              <w:rPr>
                <w:rStyle w:val="Hyperlink"/>
                <w:noProof/>
              </w:rPr>
              <w:t>4. Our Aims, Objectives and Key Priorities</w:t>
            </w:r>
            <w:r>
              <w:rPr>
                <w:noProof/>
                <w:webHidden/>
              </w:rPr>
              <w:tab/>
            </w:r>
            <w:r>
              <w:rPr>
                <w:noProof/>
                <w:webHidden/>
              </w:rPr>
              <w:fldChar w:fldCharType="begin"/>
            </w:r>
            <w:r>
              <w:rPr>
                <w:noProof/>
                <w:webHidden/>
              </w:rPr>
              <w:instrText xml:space="preserve"> PAGEREF _Toc117766921 \h </w:instrText>
            </w:r>
            <w:r>
              <w:rPr>
                <w:noProof/>
                <w:webHidden/>
              </w:rPr>
            </w:r>
            <w:r>
              <w:rPr>
                <w:noProof/>
                <w:webHidden/>
              </w:rPr>
              <w:fldChar w:fldCharType="separate"/>
            </w:r>
            <w:r>
              <w:rPr>
                <w:noProof/>
                <w:webHidden/>
              </w:rPr>
              <w:t>7</w:t>
            </w:r>
            <w:r>
              <w:rPr>
                <w:noProof/>
                <w:webHidden/>
              </w:rPr>
              <w:fldChar w:fldCharType="end"/>
            </w:r>
          </w:hyperlink>
        </w:p>
        <w:p w14:paraId="4EBE9926" w14:textId="77777777" w:rsidR="008D7D79" w:rsidRDefault="008D7D79">
          <w:pPr>
            <w:pStyle w:val="TOC2"/>
            <w:tabs>
              <w:tab w:val="right" w:leader="dot" w:pos="9016"/>
            </w:tabs>
            <w:rPr>
              <w:noProof/>
              <w:sz w:val="22"/>
              <w:szCs w:val="22"/>
              <w:lang w:eastAsia="en-GB"/>
            </w:rPr>
          </w:pPr>
          <w:hyperlink w:anchor="_Toc117766922" w:history="1">
            <w:r w:rsidRPr="00585A3F">
              <w:rPr>
                <w:rStyle w:val="Hyperlink"/>
                <w:noProof/>
              </w:rPr>
              <w:t>4.1 Aims</w:t>
            </w:r>
            <w:r>
              <w:rPr>
                <w:noProof/>
                <w:webHidden/>
              </w:rPr>
              <w:tab/>
            </w:r>
            <w:r>
              <w:rPr>
                <w:noProof/>
                <w:webHidden/>
              </w:rPr>
              <w:fldChar w:fldCharType="begin"/>
            </w:r>
            <w:r>
              <w:rPr>
                <w:noProof/>
                <w:webHidden/>
              </w:rPr>
              <w:instrText xml:space="preserve"> PAGEREF _Toc117766922 \h </w:instrText>
            </w:r>
            <w:r>
              <w:rPr>
                <w:noProof/>
                <w:webHidden/>
              </w:rPr>
            </w:r>
            <w:r>
              <w:rPr>
                <w:noProof/>
                <w:webHidden/>
              </w:rPr>
              <w:fldChar w:fldCharType="separate"/>
            </w:r>
            <w:r>
              <w:rPr>
                <w:noProof/>
                <w:webHidden/>
              </w:rPr>
              <w:t>7</w:t>
            </w:r>
            <w:r>
              <w:rPr>
                <w:noProof/>
                <w:webHidden/>
              </w:rPr>
              <w:fldChar w:fldCharType="end"/>
            </w:r>
          </w:hyperlink>
        </w:p>
        <w:p w14:paraId="0106278B" w14:textId="77777777" w:rsidR="008D7D79" w:rsidRDefault="008D7D79">
          <w:pPr>
            <w:pStyle w:val="TOC2"/>
            <w:tabs>
              <w:tab w:val="right" w:leader="dot" w:pos="9016"/>
            </w:tabs>
            <w:rPr>
              <w:noProof/>
              <w:sz w:val="22"/>
              <w:szCs w:val="22"/>
              <w:lang w:eastAsia="en-GB"/>
            </w:rPr>
          </w:pPr>
          <w:hyperlink w:anchor="_Toc117766923" w:history="1">
            <w:r w:rsidRPr="00585A3F">
              <w:rPr>
                <w:rStyle w:val="Hyperlink"/>
                <w:noProof/>
              </w:rPr>
              <w:t>4.2 Objectives</w:t>
            </w:r>
            <w:r>
              <w:rPr>
                <w:noProof/>
                <w:webHidden/>
              </w:rPr>
              <w:tab/>
            </w:r>
            <w:r>
              <w:rPr>
                <w:noProof/>
                <w:webHidden/>
              </w:rPr>
              <w:fldChar w:fldCharType="begin"/>
            </w:r>
            <w:r>
              <w:rPr>
                <w:noProof/>
                <w:webHidden/>
              </w:rPr>
              <w:instrText xml:space="preserve"> PAGEREF _Toc117766923 \h </w:instrText>
            </w:r>
            <w:r>
              <w:rPr>
                <w:noProof/>
                <w:webHidden/>
              </w:rPr>
            </w:r>
            <w:r>
              <w:rPr>
                <w:noProof/>
                <w:webHidden/>
              </w:rPr>
              <w:fldChar w:fldCharType="separate"/>
            </w:r>
            <w:r>
              <w:rPr>
                <w:noProof/>
                <w:webHidden/>
              </w:rPr>
              <w:t>8</w:t>
            </w:r>
            <w:r>
              <w:rPr>
                <w:noProof/>
                <w:webHidden/>
              </w:rPr>
              <w:fldChar w:fldCharType="end"/>
            </w:r>
          </w:hyperlink>
        </w:p>
        <w:p w14:paraId="64279FB7" w14:textId="77777777" w:rsidR="008D7D79" w:rsidRDefault="008D7D79">
          <w:pPr>
            <w:pStyle w:val="TOC2"/>
            <w:tabs>
              <w:tab w:val="right" w:leader="dot" w:pos="9016"/>
            </w:tabs>
            <w:rPr>
              <w:noProof/>
              <w:sz w:val="22"/>
              <w:szCs w:val="22"/>
              <w:lang w:eastAsia="en-GB"/>
            </w:rPr>
          </w:pPr>
          <w:hyperlink w:anchor="_Toc117766924" w:history="1">
            <w:r w:rsidRPr="00585A3F">
              <w:rPr>
                <w:rStyle w:val="Hyperlink"/>
                <w:noProof/>
              </w:rPr>
              <w:t>4.3 Key Priorities</w:t>
            </w:r>
            <w:r>
              <w:rPr>
                <w:noProof/>
                <w:webHidden/>
              </w:rPr>
              <w:tab/>
            </w:r>
            <w:r>
              <w:rPr>
                <w:noProof/>
                <w:webHidden/>
              </w:rPr>
              <w:fldChar w:fldCharType="begin"/>
            </w:r>
            <w:r>
              <w:rPr>
                <w:noProof/>
                <w:webHidden/>
              </w:rPr>
              <w:instrText xml:space="preserve"> PAGEREF _Toc117766924 \h </w:instrText>
            </w:r>
            <w:r>
              <w:rPr>
                <w:noProof/>
                <w:webHidden/>
              </w:rPr>
            </w:r>
            <w:r>
              <w:rPr>
                <w:noProof/>
                <w:webHidden/>
              </w:rPr>
              <w:fldChar w:fldCharType="separate"/>
            </w:r>
            <w:r>
              <w:rPr>
                <w:noProof/>
                <w:webHidden/>
              </w:rPr>
              <w:t>9</w:t>
            </w:r>
            <w:r>
              <w:rPr>
                <w:noProof/>
                <w:webHidden/>
              </w:rPr>
              <w:fldChar w:fldCharType="end"/>
            </w:r>
          </w:hyperlink>
        </w:p>
        <w:p w14:paraId="5F270D5D" w14:textId="77777777" w:rsidR="008D7D79" w:rsidRDefault="008D7D79">
          <w:pPr>
            <w:pStyle w:val="TOC1"/>
            <w:rPr>
              <w:noProof/>
              <w:sz w:val="22"/>
              <w:szCs w:val="22"/>
              <w:lang w:eastAsia="en-GB"/>
            </w:rPr>
          </w:pPr>
          <w:hyperlink w:anchor="_Toc117766925" w:history="1">
            <w:r w:rsidRPr="00585A3F">
              <w:rPr>
                <w:rStyle w:val="Hyperlink"/>
                <w:noProof/>
              </w:rPr>
              <w:t>5. Measuring and Monitoring our Performance</w:t>
            </w:r>
            <w:r>
              <w:rPr>
                <w:noProof/>
                <w:webHidden/>
              </w:rPr>
              <w:tab/>
            </w:r>
            <w:r>
              <w:rPr>
                <w:noProof/>
                <w:webHidden/>
              </w:rPr>
              <w:fldChar w:fldCharType="begin"/>
            </w:r>
            <w:r>
              <w:rPr>
                <w:noProof/>
                <w:webHidden/>
              </w:rPr>
              <w:instrText xml:space="preserve"> PAGEREF _Toc117766925 \h </w:instrText>
            </w:r>
            <w:r>
              <w:rPr>
                <w:noProof/>
                <w:webHidden/>
              </w:rPr>
            </w:r>
            <w:r>
              <w:rPr>
                <w:noProof/>
                <w:webHidden/>
              </w:rPr>
              <w:fldChar w:fldCharType="separate"/>
            </w:r>
            <w:r>
              <w:rPr>
                <w:noProof/>
                <w:webHidden/>
              </w:rPr>
              <w:t>9</w:t>
            </w:r>
            <w:r>
              <w:rPr>
                <w:noProof/>
                <w:webHidden/>
              </w:rPr>
              <w:fldChar w:fldCharType="end"/>
            </w:r>
          </w:hyperlink>
        </w:p>
        <w:p w14:paraId="7838A4F0" w14:textId="77777777" w:rsidR="008D7D79" w:rsidRDefault="008D7D79">
          <w:pPr>
            <w:pStyle w:val="TOC2"/>
            <w:tabs>
              <w:tab w:val="right" w:leader="dot" w:pos="9016"/>
            </w:tabs>
            <w:rPr>
              <w:noProof/>
              <w:sz w:val="22"/>
              <w:szCs w:val="22"/>
              <w:lang w:eastAsia="en-GB"/>
            </w:rPr>
          </w:pPr>
          <w:hyperlink w:anchor="_Toc117766926" w:history="1">
            <w:r w:rsidRPr="00585A3F">
              <w:rPr>
                <w:rStyle w:val="Hyperlink"/>
                <w:noProof/>
              </w:rPr>
              <w:t>5.1 Spend</w:t>
            </w:r>
            <w:r>
              <w:rPr>
                <w:noProof/>
                <w:webHidden/>
              </w:rPr>
              <w:tab/>
            </w:r>
            <w:r>
              <w:rPr>
                <w:noProof/>
                <w:webHidden/>
              </w:rPr>
              <w:fldChar w:fldCharType="begin"/>
            </w:r>
            <w:r>
              <w:rPr>
                <w:noProof/>
                <w:webHidden/>
              </w:rPr>
              <w:instrText xml:space="preserve"> PAGEREF _Toc117766926 \h </w:instrText>
            </w:r>
            <w:r>
              <w:rPr>
                <w:noProof/>
                <w:webHidden/>
              </w:rPr>
            </w:r>
            <w:r>
              <w:rPr>
                <w:noProof/>
                <w:webHidden/>
              </w:rPr>
              <w:fldChar w:fldCharType="separate"/>
            </w:r>
            <w:r>
              <w:rPr>
                <w:noProof/>
                <w:webHidden/>
              </w:rPr>
              <w:t>9</w:t>
            </w:r>
            <w:r>
              <w:rPr>
                <w:noProof/>
                <w:webHidden/>
              </w:rPr>
              <w:fldChar w:fldCharType="end"/>
            </w:r>
          </w:hyperlink>
        </w:p>
        <w:p w14:paraId="301C8A91" w14:textId="77777777" w:rsidR="008D7D79" w:rsidRDefault="008D7D79">
          <w:pPr>
            <w:pStyle w:val="TOC2"/>
            <w:tabs>
              <w:tab w:val="right" w:leader="dot" w:pos="9016"/>
            </w:tabs>
            <w:rPr>
              <w:noProof/>
              <w:sz w:val="22"/>
              <w:szCs w:val="22"/>
              <w:lang w:eastAsia="en-GB"/>
            </w:rPr>
          </w:pPr>
          <w:hyperlink w:anchor="_Toc117766927" w:history="1">
            <w:r w:rsidRPr="00585A3F">
              <w:rPr>
                <w:rStyle w:val="Hyperlink"/>
                <w:noProof/>
              </w:rPr>
              <w:t>5.2 Local (OX postcode) and SME (Small/Medium Enterprise) Spend</w:t>
            </w:r>
            <w:r>
              <w:rPr>
                <w:noProof/>
                <w:webHidden/>
              </w:rPr>
              <w:tab/>
            </w:r>
            <w:r>
              <w:rPr>
                <w:noProof/>
                <w:webHidden/>
              </w:rPr>
              <w:fldChar w:fldCharType="begin"/>
            </w:r>
            <w:r>
              <w:rPr>
                <w:noProof/>
                <w:webHidden/>
              </w:rPr>
              <w:instrText xml:space="preserve"> PAGEREF _Toc117766927 \h </w:instrText>
            </w:r>
            <w:r>
              <w:rPr>
                <w:noProof/>
                <w:webHidden/>
              </w:rPr>
            </w:r>
            <w:r>
              <w:rPr>
                <w:noProof/>
                <w:webHidden/>
              </w:rPr>
              <w:fldChar w:fldCharType="separate"/>
            </w:r>
            <w:r>
              <w:rPr>
                <w:noProof/>
                <w:webHidden/>
              </w:rPr>
              <w:t>10</w:t>
            </w:r>
            <w:r>
              <w:rPr>
                <w:noProof/>
                <w:webHidden/>
              </w:rPr>
              <w:fldChar w:fldCharType="end"/>
            </w:r>
          </w:hyperlink>
        </w:p>
        <w:p w14:paraId="51FCAE6C" w14:textId="77777777" w:rsidR="008D7D79" w:rsidRDefault="008D7D79">
          <w:pPr>
            <w:pStyle w:val="TOC2"/>
            <w:tabs>
              <w:tab w:val="right" w:leader="dot" w:pos="9016"/>
            </w:tabs>
            <w:rPr>
              <w:noProof/>
              <w:sz w:val="22"/>
              <w:szCs w:val="22"/>
              <w:lang w:eastAsia="en-GB"/>
            </w:rPr>
          </w:pPr>
          <w:hyperlink w:anchor="_Toc117766928" w:history="1">
            <w:r w:rsidRPr="00585A3F">
              <w:rPr>
                <w:rStyle w:val="Hyperlink"/>
                <w:noProof/>
              </w:rPr>
              <w:t>5.3 Contract Register_Pipeline</w:t>
            </w:r>
            <w:r>
              <w:rPr>
                <w:noProof/>
                <w:webHidden/>
              </w:rPr>
              <w:tab/>
            </w:r>
            <w:r>
              <w:rPr>
                <w:noProof/>
                <w:webHidden/>
              </w:rPr>
              <w:fldChar w:fldCharType="begin"/>
            </w:r>
            <w:r>
              <w:rPr>
                <w:noProof/>
                <w:webHidden/>
              </w:rPr>
              <w:instrText xml:space="preserve"> PAGEREF _Toc117766928 \h </w:instrText>
            </w:r>
            <w:r>
              <w:rPr>
                <w:noProof/>
                <w:webHidden/>
              </w:rPr>
            </w:r>
            <w:r>
              <w:rPr>
                <w:noProof/>
                <w:webHidden/>
              </w:rPr>
              <w:fldChar w:fldCharType="separate"/>
            </w:r>
            <w:r>
              <w:rPr>
                <w:noProof/>
                <w:webHidden/>
              </w:rPr>
              <w:t>10</w:t>
            </w:r>
            <w:r>
              <w:rPr>
                <w:noProof/>
                <w:webHidden/>
              </w:rPr>
              <w:fldChar w:fldCharType="end"/>
            </w:r>
          </w:hyperlink>
        </w:p>
        <w:p w14:paraId="65BC4597" w14:textId="77777777" w:rsidR="008D7D79" w:rsidRDefault="008D7D79">
          <w:pPr>
            <w:pStyle w:val="TOC2"/>
            <w:tabs>
              <w:tab w:val="right" w:leader="dot" w:pos="9016"/>
            </w:tabs>
            <w:rPr>
              <w:noProof/>
              <w:sz w:val="22"/>
              <w:szCs w:val="22"/>
              <w:lang w:eastAsia="en-GB"/>
            </w:rPr>
          </w:pPr>
          <w:hyperlink w:anchor="_Toc117766929" w:history="1">
            <w:r w:rsidRPr="00585A3F">
              <w:rPr>
                <w:rStyle w:val="Hyperlink"/>
                <w:noProof/>
              </w:rPr>
              <w:t>5.4 Exemption Requests</w:t>
            </w:r>
            <w:r>
              <w:rPr>
                <w:noProof/>
                <w:webHidden/>
              </w:rPr>
              <w:tab/>
            </w:r>
            <w:r>
              <w:rPr>
                <w:noProof/>
                <w:webHidden/>
              </w:rPr>
              <w:fldChar w:fldCharType="begin"/>
            </w:r>
            <w:r>
              <w:rPr>
                <w:noProof/>
                <w:webHidden/>
              </w:rPr>
              <w:instrText xml:space="preserve"> PAGEREF _Toc117766929 \h </w:instrText>
            </w:r>
            <w:r>
              <w:rPr>
                <w:noProof/>
                <w:webHidden/>
              </w:rPr>
            </w:r>
            <w:r>
              <w:rPr>
                <w:noProof/>
                <w:webHidden/>
              </w:rPr>
              <w:fldChar w:fldCharType="separate"/>
            </w:r>
            <w:r>
              <w:rPr>
                <w:noProof/>
                <w:webHidden/>
              </w:rPr>
              <w:t>11</w:t>
            </w:r>
            <w:r>
              <w:rPr>
                <w:noProof/>
                <w:webHidden/>
              </w:rPr>
              <w:fldChar w:fldCharType="end"/>
            </w:r>
          </w:hyperlink>
        </w:p>
        <w:p w14:paraId="02C6A254" w14:textId="77777777" w:rsidR="008D7D79" w:rsidRDefault="008D7D79">
          <w:pPr>
            <w:pStyle w:val="TOC2"/>
            <w:tabs>
              <w:tab w:val="right" w:leader="dot" w:pos="9016"/>
            </w:tabs>
            <w:rPr>
              <w:noProof/>
              <w:sz w:val="22"/>
              <w:szCs w:val="22"/>
              <w:lang w:eastAsia="en-GB"/>
            </w:rPr>
          </w:pPr>
          <w:hyperlink w:anchor="_Toc117766930" w:history="1">
            <w:r w:rsidRPr="00585A3F">
              <w:rPr>
                <w:rStyle w:val="Hyperlink"/>
                <w:noProof/>
              </w:rPr>
              <w:t>5.5 Tenders undertaken via the Procurement Portal</w:t>
            </w:r>
            <w:r>
              <w:rPr>
                <w:noProof/>
                <w:webHidden/>
              </w:rPr>
              <w:tab/>
            </w:r>
            <w:r>
              <w:rPr>
                <w:noProof/>
                <w:webHidden/>
              </w:rPr>
              <w:fldChar w:fldCharType="begin"/>
            </w:r>
            <w:r>
              <w:rPr>
                <w:noProof/>
                <w:webHidden/>
              </w:rPr>
              <w:instrText xml:space="preserve"> PAGEREF _Toc117766930 \h </w:instrText>
            </w:r>
            <w:r>
              <w:rPr>
                <w:noProof/>
                <w:webHidden/>
              </w:rPr>
            </w:r>
            <w:r>
              <w:rPr>
                <w:noProof/>
                <w:webHidden/>
              </w:rPr>
              <w:fldChar w:fldCharType="separate"/>
            </w:r>
            <w:r>
              <w:rPr>
                <w:noProof/>
                <w:webHidden/>
              </w:rPr>
              <w:t>12</w:t>
            </w:r>
            <w:r>
              <w:rPr>
                <w:noProof/>
                <w:webHidden/>
              </w:rPr>
              <w:fldChar w:fldCharType="end"/>
            </w:r>
          </w:hyperlink>
        </w:p>
        <w:p w14:paraId="194E1648" w14:textId="77777777" w:rsidR="008D7D79" w:rsidRDefault="008D7D79">
          <w:pPr>
            <w:pStyle w:val="TOC2"/>
            <w:tabs>
              <w:tab w:val="right" w:leader="dot" w:pos="9016"/>
            </w:tabs>
            <w:rPr>
              <w:noProof/>
              <w:sz w:val="22"/>
              <w:szCs w:val="22"/>
              <w:lang w:eastAsia="en-GB"/>
            </w:rPr>
          </w:pPr>
          <w:hyperlink w:anchor="_Toc117766931" w:history="1">
            <w:r w:rsidRPr="00585A3F">
              <w:rPr>
                <w:rStyle w:val="Hyperlink"/>
                <w:noProof/>
              </w:rPr>
              <w:t>5.6 Transparency reporting</w:t>
            </w:r>
            <w:r>
              <w:rPr>
                <w:noProof/>
                <w:webHidden/>
              </w:rPr>
              <w:tab/>
            </w:r>
            <w:r>
              <w:rPr>
                <w:noProof/>
                <w:webHidden/>
              </w:rPr>
              <w:fldChar w:fldCharType="begin"/>
            </w:r>
            <w:r>
              <w:rPr>
                <w:noProof/>
                <w:webHidden/>
              </w:rPr>
              <w:instrText xml:space="preserve"> PAGEREF _Toc117766931 \h </w:instrText>
            </w:r>
            <w:r>
              <w:rPr>
                <w:noProof/>
                <w:webHidden/>
              </w:rPr>
            </w:r>
            <w:r>
              <w:rPr>
                <w:noProof/>
                <w:webHidden/>
              </w:rPr>
              <w:fldChar w:fldCharType="separate"/>
            </w:r>
            <w:r>
              <w:rPr>
                <w:noProof/>
                <w:webHidden/>
              </w:rPr>
              <w:t>12</w:t>
            </w:r>
            <w:r>
              <w:rPr>
                <w:noProof/>
                <w:webHidden/>
              </w:rPr>
              <w:fldChar w:fldCharType="end"/>
            </w:r>
          </w:hyperlink>
        </w:p>
        <w:p w14:paraId="63B9909D" w14:textId="77777777" w:rsidR="008D7D79" w:rsidRDefault="008D7D79">
          <w:pPr>
            <w:pStyle w:val="TOC2"/>
            <w:tabs>
              <w:tab w:val="right" w:leader="dot" w:pos="9016"/>
            </w:tabs>
            <w:rPr>
              <w:noProof/>
              <w:sz w:val="22"/>
              <w:szCs w:val="22"/>
              <w:lang w:eastAsia="en-GB"/>
            </w:rPr>
          </w:pPr>
          <w:hyperlink w:anchor="_Toc117766932" w:history="1">
            <w:r w:rsidRPr="00585A3F">
              <w:rPr>
                <w:rStyle w:val="Hyperlink"/>
                <w:noProof/>
              </w:rPr>
              <w:t>5.7 Key Performance Indicators</w:t>
            </w:r>
            <w:r>
              <w:rPr>
                <w:noProof/>
                <w:webHidden/>
              </w:rPr>
              <w:tab/>
            </w:r>
            <w:r>
              <w:rPr>
                <w:noProof/>
                <w:webHidden/>
              </w:rPr>
              <w:fldChar w:fldCharType="begin"/>
            </w:r>
            <w:r>
              <w:rPr>
                <w:noProof/>
                <w:webHidden/>
              </w:rPr>
              <w:instrText xml:space="preserve"> PAGEREF _Toc117766932 \h </w:instrText>
            </w:r>
            <w:r>
              <w:rPr>
                <w:noProof/>
                <w:webHidden/>
              </w:rPr>
            </w:r>
            <w:r>
              <w:rPr>
                <w:noProof/>
                <w:webHidden/>
              </w:rPr>
              <w:fldChar w:fldCharType="separate"/>
            </w:r>
            <w:r>
              <w:rPr>
                <w:noProof/>
                <w:webHidden/>
              </w:rPr>
              <w:t>13</w:t>
            </w:r>
            <w:r>
              <w:rPr>
                <w:noProof/>
                <w:webHidden/>
              </w:rPr>
              <w:fldChar w:fldCharType="end"/>
            </w:r>
          </w:hyperlink>
        </w:p>
        <w:p w14:paraId="60EDBA50" w14:textId="77777777" w:rsidR="008D7D79" w:rsidRDefault="008D7D79">
          <w:pPr>
            <w:pStyle w:val="TOC1"/>
            <w:rPr>
              <w:noProof/>
              <w:sz w:val="22"/>
              <w:szCs w:val="22"/>
              <w:lang w:eastAsia="en-GB"/>
            </w:rPr>
          </w:pPr>
          <w:hyperlink w:anchor="_Toc117766933" w:history="1">
            <w:r w:rsidRPr="00585A3F">
              <w:rPr>
                <w:rStyle w:val="Hyperlink"/>
                <w:noProof/>
              </w:rPr>
              <w:t>6 Contract management</w:t>
            </w:r>
            <w:r>
              <w:rPr>
                <w:noProof/>
                <w:webHidden/>
              </w:rPr>
              <w:tab/>
            </w:r>
            <w:r>
              <w:rPr>
                <w:noProof/>
                <w:webHidden/>
              </w:rPr>
              <w:fldChar w:fldCharType="begin"/>
            </w:r>
            <w:r>
              <w:rPr>
                <w:noProof/>
                <w:webHidden/>
              </w:rPr>
              <w:instrText xml:space="preserve"> PAGEREF _Toc117766933 \h </w:instrText>
            </w:r>
            <w:r>
              <w:rPr>
                <w:noProof/>
                <w:webHidden/>
              </w:rPr>
            </w:r>
            <w:r>
              <w:rPr>
                <w:noProof/>
                <w:webHidden/>
              </w:rPr>
              <w:fldChar w:fldCharType="separate"/>
            </w:r>
            <w:r>
              <w:rPr>
                <w:noProof/>
                <w:webHidden/>
              </w:rPr>
              <w:t>14</w:t>
            </w:r>
            <w:r>
              <w:rPr>
                <w:noProof/>
                <w:webHidden/>
              </w:rPr>
              <w:fldChar w:fldCharType="end"/>
            </w:r>
          </w:hyperlink>
        </w:p>
        <w:p w14:paraId="1B1182C1" w14:textId="77777777" w:rsidR="008D7D79" w:rsidRDefault="008D7D79">
          <w:pPr>
            <w:pStyle w:val="TOC1"/>
            <w:rPr>
              <w:noProof/>
              <w:sz w:val="22"/>
              <w:szCs w:val="22"/>
              <w:lang w:eastAsia="en-GB"/>
            </w:rPr>
          </w:pPr>
          <w:hyperlink w:anchor="_Toc117766934" w:history="1">
            <w:r w:rsidRPr="00585A3F">
              <w:rPr>
                <w:rStyle w:val="Hyperlink"/>
                <w:noProof/>
              </w:rPr>
              <w:t>7. Social Value</w:t>
            </w:r>
            <w:r>
              <w:rPr>
                <w:noProof/>
                <w:webHidden/>
              </w:rPr>
              <w:tab/>
            </w:r>
            <w:r>
              <w:rPr>
                <w:noProof/>
                <w:webHidden/>
              </w:rPr>
              <w:fldChar w:fldCharType="begin"/>
            </w:r>
            <w:r>
              <w:rPr>
                <w:noProof/>
                <w:webHidden/>
              </w:rPr>
              <w:instrText xml:space="preserve"> PAGEREF _Toc117766934 \h </w:instrText>
            </w:r>
            <w:r>
              <w:rPr>
                <w:noProof/>
                <w:webHidden/>
              </w:rPr>
            </w:r>
            <w:r>
              <w:rPr>
                <w:noProof/>
                <w:webHidden/>
              </w:rPr>
              <w:fldChar w:fldCharType="separate"/>
            </w:r>
            <w:r>
              <w:rPr>
                <w:noProof/>
                <w:webHidden/>
              </w:rPr>
              <w:t>14</w:t>
            </w:r>
            <w:r>
              <w:rPr>
                <w:noProof/>
                <w:webHidden/>
              </w:rPr>
              <w:fldChar w:fldCharType="end"/>
            </w:r>
          </w:hyperlink>
        </w:p>
        <w:p w14:paraId="09D1EAFA" w14:textId="77777777" w:rsidR="008D7D79" w:rsidRDefault="008D7D79">
          <w:pPr>
            <w:pStyle w:val="TOC1"/>
            <w:rPr>
              <w:noProof/>
              <w:sz w:val="22"/>
              <w:szCs w:val="22"/>
              <w:lang w:eastAsia="en-GB"/>
            </w:rPr>
          </w:pPr>
          <w:hyperlink w:anchor="_Toc117766935" w:history="1">
            <w:r w:rsidRPr="00585A3F">
              <w:rPr>
                <w:rStyle w:val="Hyperlink"/>
                <w:noProof/>
              </w:rPr>
              <w:t>8 Sustainable Procurement</w:t>
            </w:r>
            <w:r>
              <w:rPr>
                <w:noProof/>
                <w:webHidden/>
              </w:rPr>
              <w:tab/>
            </w:r>
            <w:r>
              <w:rPr>
                <w:noProof/>
                <w:webHidden/>
              </w:rPr>
              <w:fldChar w:fldCharType="begin"/>
            </w:r>
            <w:r>
              <w:rPr>
                <w:noProof/>
                <w:webHidden/>
              </w:rPr>
              <w:instrText xml:space="preserve"> PAGEREF _Toc117766935 \h </w:instrText>
            </w:r>
            <w:r>
              <w:rPr>
                <w:noProof/>
                <w:webHidden/>
              </w:rPr>
            </w:r>
            <w:r>
              <w:rPr>
                <w:noProof/>
                <w:webHidden/>
              </w:rPr>
              <w:fldChar w:fldCharType="separate"/>
            </w:r>
            <w:r>
              <w:rPr>
                <w:noProof/>
                <w:webHidden/>
              </w:rPr>
              <w:t>15</w:t>
            </w:r>
            <w:r>
              <w:rPr>
                <w:noProof/>
                <w:webHidden/>
              </w:rPr>
              <w:fldChar w:fldCharType="end"/>
            </w:r>
          </w:hyperlink>
        </w:p>
        <w:p w14:paraId="55302986" w14:textId="77777777" w:rsidR="008D7D79" w:rsidRDefault="008D7D79">
          <w:pPr>
            <w:pStyle w:val="TOC1"/>
            <w:rPr>
              <w:noProof/>
              <w:sz w:val="22"/>
              <w:szCs w:val="22"/>
              <w:lang w:eastAsia="en-GB"/>
            </w:rPr>
          </w:pPr>
          <w:hyperlink w:anchor="_Toc117766936" w:history="1">
            <w:r w:rsidRPr="00585A3F">
              <w:rPr>
                <w:rStyle w:val="Hyperlink"/>
                <w:noProof/>
              </w:rPr>
              <w:t>9 Ethical Procurement</w:t>
            </w:r>
            <w:r>
              <w:rPr>
                <w:noProof/>
                <w:webHidden/>
              </w:rPr>
              <w:tab/>
            </w:r>
            <w:r>
              <w:rPr>
                <w:noProof/>
                <w:webHidden/>
              </w:rPr>
              <w:fldChar w:fldCharType="begin"/>
            </w:r>
            <w:r>
              <w:rPr>
                <w:noProof/>
                <w:webHidden/>
              </w:rPr>
              <w:instrText xml:space="preserve"> PAGEREF _Toc117766936 \h </w:instrText>
            </w:r>
            <w:r>
              <w:rPr>
                <w:noProof/>
                <w:webHidden/>
              </w:rPr>
            </w:r>
            <w:r>
              <w:rPr>
                <w:noProof/>
                <w:webHidden/>
              </w:rPr>
              <w:fldChar w:fldCharType="separate"/>
            </w:r>
            <w:r>
              <w:rPr>
                <w:noProof/>
                <w:webHidden/>
              </w:rPr>
              <w:t>15</w:t>
            </w:r>
            <w:r>
              <w:rPr>
                <w:noProof/>
                <w:webHidden/>
              </w:rPr>
              <w:fldChar w:fldCharType="end"/>
            </w:r>
          </w:hyperlink>
        </w:p>
        <w:p w14:paraId="33B5D611" w14:textId="77777777" w:rsidR="008D7D79" w:rsidRDefault="008D7D79">
          <w:pPr>
            <w:pStyle w:val="TOC1"/>
            <w:rPr>
              <w:noProof/>
              <w:sz w:val="22"/>
              <w:szCs w:val="22"/>
              <w:lang w:eastAsia="en-GB"/>
            </w:rPr>
          </w:pPr>
          <w:hyperlink w:anchor="_Toc117766937" w:history="1">
            <w:r w:rsidRPr="00585A3F">
              <w:rPr>
                <w:rStyle w:val="Hyperlink"/>
                <w:noProof/>
              </w:rPr>
              <w:t>10 Conclusion AND SUMMARY</w:t>
            </w:r>
            <w:r>
              <w:rPr>
                <w:noProof/>
                <w:webHidden/>
              </w:rPr>
              <w:tab/>
            </w:r>
            <w:r>
              <w:rPr>
                <w:noProof/>
                <w:webHidden/>
              </w:rPr>
              <w:fldChar w:fldCharType="begin"/>
            </w:r>
            <w:r>
              <w:rPr>
                <w:noProof/>
                <w:webHidden/>
              </w:rPr>
              <w:instrText xml:space="preserve"> PAGEREF _Toc117766937 \h </w:instrText>
            </w:r>
            <w:r>
              <w:rPr>
                <w:noProof/>
                <w:webHidden/>
              </w:rPr>
            </w:r>
            <w:r>
              <w:rPr>
                <w:noProof/>
                <w:webHidden/>
              </w:rPr>
              <w:fldChar w:fldCharType="separate"/>
            </w:r>
            <w:r>
              <w:rPr>
                <w:noProof/>
                <w:webHidden/>
              </w:rPr>
              <w:t>16</w:t>
            </w:r>
            <w:r>
              <w:rPr>
                <w:noProof/>
                <w:webHidden/>
              </w:rPr>
              <w:fldChar w:fldCharType="end"/>
            </w:r>
          </w:hyperlink>
        </w:p>
        <w:p w14:paraId="61E22297" w14:textId="77777777" w:rsidR="008D7D79" w:rsidRDefault="008D7D79">
          <w:pPr>
            <w:pStyle w:val="TOC1"/>
            <w:rPr>
              <w:noProof/>
              <w:sz w:val="22"/>
              <w:szCs w:val="22"/>
              <w:lang w:eastAsia="en-GB"/>
            </w:rPr>
          </w:pPr>
          <w:hyperlink w:anchor="_Toc117766938" w:history="1">
            <w:r w:rsidRPr="00585A3F">
              <w:rPr>
                <w:rStyle w:val="Hyperlink"/>
                <w:noProof/>
              </w:rPr>
              <w:t>11 Action Plan to deliver the strategy</w:t>
            </w:r>
            <w:r>
              <w:rPr>
                <w:noProof/>
                <w:webHidden/>
              </w:rPr>
              <w:tab/>
            </w:r>
            <w:r>
              <w:rPr>
                <w:noProof/>
                <w:webHidden/>
              </w:rPr>
              <w:fldChar w:fldCharType="begin"/>
            </w:r>
            <w:r>
              <w:rPr>
                <w:noProof/>
                <w:webHidden/>
              </w:rPr>
              <w:instrText xml:space="preserve"> PAGEREF _Toc117766938 \h </w:instrText>
            </w:r>
            <w:r>
              <w:rPr>
                <w:noProof/>
                <w:webHidden/>
              </w:rPr>
            </w:r>
            <w:r>
              <w:rPr>
                <w:noProof/>
                <w:webHidden/>
              </w:rPr>
              <w:fldChar w:fldCharType="separate"/>
            </w:r>
            <w:r>
              <w:rPr>
                <w:noProof/>
                <w:webHidden/>
              </w:rPr>
              <w:t>17</w:t>
            </w:r>
            <w:r>
              <w:rPr>
                <w:noProof/>
                <w:webHidden/>
              </w:rPr>
              <w:fldChar w:fldCharType="end"/>
            </w:r>
          </w:hyperlink>
        </w:p>
        <w:p w14:paraId="3B55E195" w14:textId="77777777" w:rsidR="008D7D79" w:rsidRDefault="008D7D79">
          <w:pPr>
            <w:pStyle w:val="TOC1"/>
            <w:rPr>
              <w:noProof/>
              <w:sz w:val="22"/>
              <w:szCs w:val="22"/>
              <w:lang w:eastAsia="en-GB"/>
            </w:rPr>
          </w:pPr>
          <w:hyperlink w:anchor="_Toc117766939" w:history="1">
            <w:r w:rsidRPr="00585A3F">
              <w:rPr>
                <w:rStyle w:val="Hyperlink"/>
                <w:noProof/>
              </w:rPr>
              <w:t>12. Glossary</w:t>
            </w:r>
            <w:r>
              <w:rPr>
                <w:noProof/>
                <w:webHidden/>
              </w:rPr>
              <w:tab/>
            </w:r>
            <w:r>
              <w:rPr>
                <w:noProof/>
                <w:webHidden/>
              </w:rPr>
              <w:fldChar w:fldCharType="begin"/>
            </w:r>
            <w:r>
              <w:rPr>
                <w:noProof/>
                <w:webHidden/>
              </w:rPr>
              <w:instrText xml:space="preserve"> PAGEREF _Toc117766939 \h </w:instrText>
            </w:r>
            <w:r>
              <w:rPr>
                <w:noProof/>
                <w:webHidden/>
              </w:rPr>
            </w:r>
            <w:r>
              <w:rPr>
                <w:noProof/>
                <w:webHidden/>
              </w:rPr>
              <w:fldChar w:fldCharType="separate"/>
            </w:r>
            <w:r>
              <w:rPr>
                <w:noProof/>
                <w:webHidden/>
              </w:rPr>
              <w:t>17</w:t>
            </w:r>
            <w:r>
              <w:rPr>
                <w:noProof/>
                <w:webHidden/>
              </w:rPr>
              <w:fldChar w:fldCharType="end"/>
            </w:r>
          </w:hyperlink>
        </w:p>
        <w:p w14:paraId="68BBEC17" w14:textId="77777777" w:rsidR="008D7D79" w:rsidRDefault="008D7D79">
          <w:pPr>
            <w:pStyle w:val="TOC1"/>
            <w:rPr>
              <w:noProof/>
              <w:sz w:val="22"/>
              <w:szCs w:val="22"/>
              <w:lang w:eastAsia="en-GB"/>
            </w:rPr>
          </w:pPr>
          <w:hyperlink w:anchor="_Toc117766940" w:history="1">
            <w:r w:rsidRPr="00585A3F">
              <w:rPr>
                <w:rStyle w:val="Hyperlink"/>
                <w:noProof/>
              </w:rPr>
              <w:t>Appendix 1</w:t>
            </w:r>
            <w:r>
              <w:rPr>
                <w:noProof/>
                <w:webHidden/>
              </w:rPr>
              <w:tab/>
            </w:r>
            <w:r>
              <w:rPr>
                <w:noProof/>
                <w:webHidden/>
              </w:rPr>
              <w:fldChar w:fldCharType="begin"/>
            </w:r>
            <w:r>
              <w:rPr>
                <w:noProof/>
                <w:webHidden/>
              </w:rPr>
              <w:instrText xml:space="preserve"> PAGEREF _Toc117766940 \h </w:instrText>
            </w:r>
            <w:r>
              <w:rPr>
                <w:noProof/>
                <w:webHidden/>
              </w:rPr>
            </w:r>
            <w:r>
              <w:rPr>
                <w:noProof/>
                <w:webHidden/>
              </w:rPr>
              <w:fldChar w:fldCharType="separate"/>
            </w:r>
            <w:r>
              <w:rPr>
                <w:noProof/>
                <w:webHidden/>
              </w:rPr>
              <w:t>19</w:t>
            </w:r>
            <w:r>
              <w:rPr>
                <w:noProof/>
                <w:webHidden/>
              </w:rPr>
              <w:fldChar w:fldCharType="end"/>
            </w:r>
          </w:hyperlink>
        </w:p>
        <w:p w14:paraId="0C5D1BD4" w14:textId="77777777" w:rsidR="008D7D79" w:rsidRDefault="008D7D79">
          <w:pPr>
            <w:pStyle w:val="TOC2"/>
            <w:tabs>
              <w:tab w:val="right" w:leader="dot" w:pos="9016"/>
            </w:tabs>
            <w:rPr>
              <w:noProof/>
              <w:sz w:val="22"/>
              <w:szCs w:val="22"/>
              <w:lang w:eastAsia="en-GB"/>
            </w:rPr>
          </w:pPr>
          <w:hyperlink w:anchor="_Toc117766941" w:history="1">
            <w:r w:rsidRPr="00585A3F">
              <w:rPr>
                <w:rStyle w:val="Hyperlink"/>
                <w:noProof/>
              </w:rPr>
              <w:t>How Procurement will support internal stakeholders</w:t>
            </w:r>
            <w:r>
              <w:rPr>
                <w:noProof/>
                <w:webHidden/>
              </w:rPr>
              <w:tab/>
            </w:r>
            <w:r>
              <w:rPr>
                <w:noProof/>
                <w:webHidden/>
              </w:rPr>
              <w:fldChar w:fldCharType="begin"/>
            </w:r>
            <w:r>
              <w:rPr>
                <w:noProof/>
                <w:webHidden/>
              </w:rPr>
              <w:instrText xml:space="preserve"> PAGEREF _Toc117766941 \h </w:instrText>
            </w:r>
            <w:r>
              <w:rPr>
                <w:noProof/>
                <w:webHidden/>
              </w:rPr>
            </w:r>
            <w:r>
              <w:rPr>
                <w:noProof/>
                <w:webHidden/>
              </w:rPr>
              <w:fldChar w:fldCharType="separate"/>
            </w:r>
            <w:r>
              <w:rPr>
                <w:noProof/>
                <w:webHidden/>
              </w:rPr>
              <w:t>19</w:t>
            </w:r>
            <w:r>
              <w:rPr>
                <w:noProof/>
                <w:webHidden/>
              </w:rPr>
              <w:fldChar w:fldCharType="end"/>
            </w:r>
          </w:hyperlink>
        </w:p>
        <w:p w14:paraId="6B0155F3" w14:textId="77777777" w:rsidR="008D7D79" w:rsidRDefault="008D7D79">
          <w:pPr>
            <w:pStyle w:val="TOC3"/>
            <w:tabs>
              <w:tab w:val="right" w:leader="dot" w:pos="9016"/>
            </w:tabs>
            <w:rPr>
              <w:noProof/>
              <w:sz w:val="22"/>
              <w:szCs w:val="22"/>
              <w:lang w:eastAsia="en-GB"/>
            </w:rPr>
          </w:pPr>
          <w:hyperlink w:anchor="_Toc117766942" w:history="1">
            <w:r w:rsidRPr="00585A3F">
              <w:rPr>
                <w:rStyle w:val="Hyperlink"/>
                <w:noProof/>
              </w:rPr>
              <w:t>Contract Management</w:t>
            </w:r>
            <w:r>
              <w:rPr>
                <w:noProof/>
                <w:webHidden/>
              </w:rPr>
              <w:tab/>
            </w:r>
            <w:r>
              <w:rPr>
                <w:noProof/>
                <w:webHidden/>
              </w:rPr>
              <w:fldChar w:fldCharType="begin"/>
            </w:r>
            <w:r>
              <w:rPr>
                <w:noProof/>
                <w:webHidden/>
              </w:rPr>
              <w:instrText xml:space="preserve"> PAGEREF _Toc117766942 \h </w:instrText>
            </w:r>
            <w:r>
              <w:rPr>
                <w:noProof/>
                <w:webHidden/>
              </w:rPr>
            </w:r>
            <w:r>
              <w:rPr>
                <w:noProof/>
                <w:webHidden/>
              </w:rPr>
              <w:fldChar w:fldCharType="separate"/>
            </w:r>
            <w:r>
              <w:rPr>
                <w:noProof/>
                <w:webHidden/>
              </w:rPr>
              <w:t>19</w:t>
            </w:r>
            <w:r>
              <w:rPr>
                <w:noProof/>
                <w:webHidden/>
              </w:rPr>
              <w:fldChar w:fldCharType="end"/>
            </w:r>
          </w:hyperlink>
        </w:p>
        <w:p w14:paraId="2D4B457D" w14:textId="77777777" w:rsidR="008D7D79" w:rsidRDefault="008D7D79">
          <w:pPr>
            <w:pStyle w:val="TOC3"/>
            <w:tabs>
              <w:tab w:val="right" w:leader="dot" w:pos="9016"/>
            </w:tabs>
            <w:rPr>
              <w:noProof/>
              <w:sz w:val="22"/>
              <w:szCs w:val="22"/>
              <w:lang w:eastAsia="en-GB"/>
            </w:rPr>
          </w:pPr>
          <w:hyperlink w:anchor="_Toc117766943" w:history="1">
            <w:r w:rsidRPr="00585A3F">
              <w:rPr>
                <w:rStyle w:val="Hyperlink"/>
                <w:noProof/>
              </w:rPr>
              <w:t>Integrated Contract and Commercial Capability</w:t>
            </w:r>
            <w:r>
              <w:rPr>
                <w:noProof/>
                <w:webHidden/>
              </w:rPr>
              <w:tab/>
            </w:r>
            <w:r>
              <w:rPr>
                <w:noProof/>
                <w:webHidden/>
              </w:rPr>
              <w:fldChar w:fldCharType="begin"/>
            </w:r>
            <w:r>
              <w:rPr>
                <w:noProof/>
                <w:webHidden/>
              </w:rPr>
              <w:instrText xml:space="preserve"> PAGEREF _Toc117766943 \h </w:instrText>
            </w:r>
            <w:r>
              <w:rPr>
                <w:noProof/>
                <w:webHidden/>
              </w:rPr>
            </w:r>
            <w:r>
              <w:rPr>
                <w:noProof/>
                <w:webHidden/>
              </w:rPr>
              <w:fldChar w:fldCharType="separate"/>
            </w:r>
            <w:r>
              <w:rPr>
                <w:noProof/>
                <w:webHidden/>
              </w:rPr>
              <w:t>19</w:t>
            </w:r>
            <w:r>
              <w:rPr>
                <w:noProof/>
                <w:webHidden/>
              </w:rPr>
              <w:fldChar w:fldCharType="end"/>
            </w:r>
          </w:hyperlink>
        </w:p>
        <w:p w14:paraId="3BB589C7" w14:textId="77777777" w:rsidR="008D7D79" w:rsidRDefault="008D7D79">
          <w:pPr>
            <w:pStyle w:val="TOC3"/>
            <w:tabs>
              <w:tab w:val="right" w:leader="dot" w:pos="9016"/>
            </w:tabs>
            <w:rPr>
              <w:noProof/>
              <w:sz w:val="22"/>
              <w:szCs w:val="22"/>
              <w:lang w:eastAsia="en-GB"/>
            </w:rPr>
          </w:pPr>
          <w:hyperlink w:anchor="_Toc117766944" w:history="1">
            <w:r w:rsidRPr="00585A3F">
              <w:rPr>
                <w:rStyle w:val="Hyperlink"/>
                <w:noProof/>
              </w:rPr>
              <w:t>Contract Lifecycle Management</w:t>
            </w:r>
            <w:r>
              <w:rPr>
                <w:noProof/>
                <w:webHidden/>
              </w:rPr>
              <w:tab/>
            </w:r>
            <w:r>
              <w:rPr>
                <w:noProof/>
                <w:webHidden/>
              </w:rPr>
              <w:fldChar w:fldCharType="begin"/>
            </w:r>
            <w:r>
              <w:rPr>
                <w:noProof/>
                <w:webHidden/>
              </w:rPr>
              <w:instrText xml:space="preserve"> PAGEREF _Toc117766944 \h </w:instrText>
            </w:r>
            <w:r>
              <w:rPr>
                <w:noProof/>
                <w:webHidden/>
              </w:rPr>
            </w:r>
            <w:r>
              <w:rPr>
                <w:noProof/>
                <w:webHidden/>
              </w:rPr>
              <w:fldChar w:fldCharType="separate"/>
            </w:r>
            <w:r>
              <w:rPr>
                <w:noProof/>
                <w:webHidden/>
              </w:rPr>
              <w:t>20</w:t>
            </w:r>
            <w:r>
              <w:rPr>
                <w:noProof/>
                <w:webHidden/>
              </w:rPr>
              <w:fldChar w:fldCharType="end"/>
            </w:r>
          </w:hyperlink>
        </w:p>
        <w:p w14:paraId="3E736811" w14:textId="77777777" w:rsidR="008D7D79" w:rsidRDefault="008D7D79">
          <w:pPr>
            <w:pStyle w:val="TOC1"/>
            <w:rPr>
              <w:noProof/>
              <w:sz w:val="22"/>
              <w:szCs w:val="22"/>
              <w:lang w:eastAsia="en-GB"/>
            </w:rPr>
          </w:pPr>
          <w:hyperlink w:anchor="_Toc117766945" w:history="1">
            <w:r w:rsidRPr="00585A3F">
              <w:rPr>
                <w:rStyle w:val="Hyperlink"/>
                <w:noProof/>
              </w:rPr>
              <w:t>Appendix 2</w:t>
            </w:r>
            <w:r>
              <w:rPr>
                <w:noProof/>
                <w:webHidden/>
              </w:rPr>
              <w:tab/>
            </w:r>
            <w:r>
              <w:rPr>
                <w:noProof/>
                <w:webHidden/>
              </w:rPr>
              <w:fldChar w:fldCharType="begin"/>
            </w:r>
            <w:r>
              <w:rPr>
                <w:noProof/>
                <w:webHidden/>
              </w:rPr>
              <w:instrText xml:space="preserve"> PAGEREF _Toc117766945 \h </w:instrText>
            </w:r>
            <w:r>
              <w:rPr>
                <w:noProof/>
                <w:webHidden/>
              </w:rPr>
            </w:r>
            <w:r>
              <w:rPr>
                <w:noProof/>
                <w:webHidden/>
              </w:rPr>
              <w:fldChar w:fldCharType="separate"/>
            </w:r>
            <w:r>
              <w:rPr>
                <w:noProof/>
                <w:webHidden/>
              </w:rPr>
              <w:t>22</w:t>
            </w:r>
            <w:r>
              <w:rPr>
                <w:noProof/>
                <w:webHidden/>
              </w:rPr>
              <w:fldChar w:fldCharType="end"/>
            </w:r>
          </w:hyperlink>
        </w:p>
        <w:p w14:paraId="6C6C26AB" w14:textId="77777777" w:rsidR="008D7D79" w:rsidRDefault="008D7D79">
          <w:pPr>
            <w:pStyle w:val="TOC2"/>
            <w:tabs>
              <w:tab w:val="right" w:leader="dot" w:pos="9016"/>
            </w:tabs>
            <w:rPr>
              <w:noProof/>
              <w:sz w:val="22"/>
              <w:szCs w:val="22"/>
              <w:lang w:eastAsia="en-GB"/>
            </w:rPr>
          </w:pPr>
          <w:hyperlink w:anchor="_Toc117766946" w:history="1">
            <w:r w:rsidRPr="00585A3F">
              <w:rPr>
                <w:rStyle w:val="Hyperlink"/>
                <w:noProof/>
              </w:rPr>
              <w:t>KPI and SLA Monitoring</w:t>
            </w:r>
            <w:r>
              <w:rPr>
                <w:noProof/>
                <w:webHidden/>
              </w:rPr>
              <w:tab/>
            </w:r>
            <w:r>
              <w:rPr>
                <w:noProof/>
                <w:webHidden/>
              </w:rPr>
              <w:fldChar w:fldCharType="begin"/>
            </w:r>
            <w:r>
              <w:rPr>
                <w:noProof/>
                <w:webHidden/>
              </w:rPr>
              <w:instrText xml:space="preserve"> PAGEREF _Toc117766946 \h </w:instrText>
            </w:r>
            <w:r>
              <w:rPr>
                <w:noProof/>
                <w:webHidden/>
              </w:rPr>
            </w:r>
            <w:r>
              <w:rPr>
                <w:noProof/>
                <w:webHidden/>
              </w:rPr>
              <w:fldChar w:fldCharType="separate"/>
            </w:r>
            <w:r>
              <w:rPr>
                <w:noProof/>
                <w:webHidden/>
              </w:rPr>
              <w:t>22</w:t>
            </w:r>
            <w:r>
              <w:rPr>
                <w:noProof/>
                <w:webHidden/>
              </w:rPr>
              <w:fldChar w:fldCharType="end"/>
            </w:r>
          </w:hyperlink>
        </w:p>
        <w:p w14:paraId="0C146DCD" w14:textId="77777777" w:rsidR="008D7D79" w:rsidRDefault="008D7D79">
          <w:pPr>
            <w:pStyle w:val="TOC3"/>
            <w:tabs>
              <w:tab w:val="right" w:leader="dot" w:pos="9016"/>
            </w:tabs>
            <w:rPr>
              <w:noProof/>
              <w:sz w:val="22"/>
              <w:szCs w:val="22"/>
              <w:lang w:eastAsia="en-GB"/>
            </w:rPr>
          </w:pPr>
          <w:hyperlink w:anchor="_Toc117766947" w:history="1">
            <w:r w:rsidRPr="00585A3F">
              <w:rPr>
                <w:rStyle w:val="Hyperlink"/>
                <w:noProof/>
              </w:rPr>
              <w:t>KPI Reporting</w:t>
            </w:r>
            <w:r>
              <w:rPr>
                <w:noProof/>
                <w:webHidden/>
              </w:rPr>
              <w:tab/>
            </w:r>
            <w:r>
              <w:rPr>
                <w:noProof/>
                <w:webHidden/>
              </w:rPr>
              <w:fldChar w:fldCharType="begin"/>
            </w:r>
            <w:r>
              <w:rPr>
                <w:noProof/>
                <w:webHidden/>
              </w:rPr>
              <w:instrText xml:space="preserve"> PAGEREF _Toc117766947 \h </w:instrText>
            </w:r>
            <w:r>
              <w:rPr>
                <w:noProof/>
                <w:webHidden/>
              </w:rPr>
            </w:r>
            <w:r>
              <w:rPr>
                <w:noProof/>
                <w:webHidden/>
              </w:rPr>
              <w:fldChar w:fldCharType="separate"/>
            </w:r>
            <w:r>
              <w:rPr>
                <w:noProof/>
                <w:webHidden/>
              </w:rPr>
              <w:t>22</w:t>
            </w:r>
            <w:r>
              <w:rPr>
                <w:noProof/>
                <w:webHidden/>
              </w:rPr>
              <w:fldChar w:fldCharType="end"/>
            </w:r>
          </w:hyperlink>
        </w:p>
        <w:p w14:paraId="06C518BC" w14:textId="77777777" w:rsidR="008D7D79" w:rsidRDefault="008D7D79">
          <w:pPr>
            <w:pStyle w:val="TOC2"/>
            <w:tabs>
              <w:tab w:val="right" w:leader="dot" w:pos="9016"/>
            </w:tabs>
            <w:rPr>
              <w:noProof/>
              <w:sz w:val="22"/>
              <w:szCs w:val="22"/>
              <w:lang w:eastAsia="en-GB"/>
            </w:rPr>
          </w:pPr>
          <w:hyperlink w:anchor="_Toc117766948" w:history="1">
            <w:r w:rsidRPr="00585A3F">
              <w:rPr>
                <w:rStyle w:val="Hyperlink"/>
                <w:noProof/>
              </w:rPr>
              <w:t>Social Value, Sustainability and Ethical Procurement</w:t>
            </w:r>
            <w:r>
              <w:rPr>
                <w:noProof/>
                <w:webHidden/>
              </w:rPr>
              <w:tab/>
            </w:r>
            <w:r>
              <w:rPr>
                <w:noProof/>
                <w:webHidden/>
              </w:rPr>
              <w:fldChar w:fldCharType="begin"/>
            </w:r>
            <w:r>
              <w:rPr>
                <w:noProof/>
                <w:webHidden/>
              </w:rPr>
              <w:instrText xml:space="preserve"> PAGEREF _Toc117766948 \h </w:instrText>
            </w:r>
            <w:r>
              <w:rPr>
                <w:noProof/>
                <w:webHidden/>
              </w:rPr>
            </w:r>
            <w:r>
              <w:rPr>
                <w:noProof/>
                <w:webHidden/>
              </w:rPr>
              <w:fldChar w:fldCharType="separate"/>
            </w:r>
            <w:r>
              <w:rPr>
                <w:noProof/>
                <w:webHidden/>
              </w:rPr>
              <w:t>23</w:t>
            </w:r>
            <w:r>
              <w:rPr>
                <w:noProof/>
                <w:webHidden/>
              </w:rPr>
              <w:fldChar w:fldCharType="end"/>
            </w:r>
          </w:hyperlink>
        </w:p>
        <w:p w14:paraId="52528DCE" w14:textId="77777777" w:rsidR="008D7D79" w:rsidRDefault="008D7D79">
          <w:pPr>
            <w:pStyle w:val="TOC3"/>
            <w:tabs>
              <w:tab w:val="right" w:leader="dot" w:pos="9016"/>
            </w:tabs>
            <w:rPr>
              <w:noProof/>
              <w:sz w:val="22"/>
              <w:szCs w:val="22"/>
              <w:lang w:eastAsia="en-GB"/>
            </w:rPr>
          </w:pPr>
          <w:hyperlink w:anchor="_Toc117766949" w:history="1">
            <w:r w:rsidRPr="00585A3F">
              <w:rPr>
                <w:rStyle w:val="Hyperlink"/>
                <w:noProof/>
              </w:rPr>
              <w:t>Social Value</w:t>
            </w:r>
            <w:r>
              <w:rPr>
                <w:noProof/>
                <w:webHidden/>
              </w:rPr>
              <w:tab/>
            </w:r>
            <w:r>
              <w:rPr>
                <w:noProof/>
                <w:webHidden/>
              </w:rPr>
              <w:fldChar w:fldCharType="begin"/>
            </w:r>
            <w:r>
              <w:rPr>
                <w:noProof/>
                <w:webHidden/>
              </w:rPr>
              <w:instrText xml:space="preserve"> PAGEREF _Toc117766949 \h </w:instrText>
            </w:r>
            <w:r>
              <w:rPr>
                <w:noProof/>
                <w:webHidden/>
              </w:rPr>
            </w:r>
            <w:r>
              <w:rPr>
                <w:noProof/>
                <w:webHidden/>
              </w:rPr>
              <w:fldChar w:fldCharType="separate"/>
            </w:r>
            <w:r>
              <w:rPr>
                <w:noProof/>
                <w:webHidden/>
              </w:rPr>
              <w:t>23</w:t>
            </w:r>
            <w:r>
              <w:rPr>
                <w:noProof/>
                <w:webHidden/>
              </w:rPr>
              <w:fldChar w:fldCharType="end"/>
            </w:r>
          </w:hyperlink>
        </w:p>
        <w:p w14:paraId="441709CD" w14:textId="77777777" w:rsidR="008D7D79" w:rsidRDefault="008D7D79">
          <w:pPr>
            <w:pStyle w:val="TOC3"/>
            <w:tabs>
              <w:tab w:val="right" w:leader="dot" w:pos="9016"/>
            </w:tabs>
            <w:rPr>
              <w:noProof/>
              <w:sz w:val="22"/>
              <w:szCs w:val="22"/>
              <w:lang w:eastAsia="en-GB"/>
            </w:rPr>
          </w:pPr>
          <w:hyperlink w:anchor="_Toc117766950" w:history="1">
            <w:r w:rsidRPr="00585A3F">
              <w:rPr>
                <w:rStyle w:val="Hyperlink"/>
                <w:noProof/>
              </w:rPr>
              <w:t>Sustainable Procurement</w:t>
            </w:r>
            <w:r>
              <w:rPr>
                <w:noProof/>
                <w:webHidden/>
              </w:rPr>
              <w:tab/>
            </w:r>
            <w:r>
              <w:rPr>
                <w:noProof/>
                <w:webHidden/>
              </w:rPr>
              <w:fldChar w:fldCharType="begin"/>
            </w:r>
            <w:r>
              <w:rPr>
                <w:noProof/>
                <w:webHidden/>
              </w:rPr>
              <w:instrText xml:space="preserve"> PAGEREF _Toc117766950 \h </w:instrText>
            </w:r>
            <w:r>
              <w:rPr>
                <w:noProof/>
                <w:webHidden/>
              </w:rPr>
            </w:r>
            <w:r>
              <w:rPr>
                <w:noProof/>
                <w:webHidden/>
              </w:rPr>
              <w:fldChar w:fldCharType="separate"/>
            </w:r>
            <w:r>
              <w:rPr>
                <w:noProof/>
                <w:webHidden/>
              </w:rPr>
              <w:t>23</w:t>
            </w:r>
            <w:r>
              <w:rPr>
                <w:noProof/>
                <w:webHidden/>
              </w:rPr>
              <w:fldChar w:fldCharType="end"/>
            </w:r>
          </w:hyperlink>
        </w:p>
        <w:p w14:paraId="42DFE1E0" w14:textId="77777777" w:rsidR="008D7D79" w:rsidRDefault="008D7D79">
          <w:pPr>
            <w:pStyle w:val="TOC3"/>
            <w:tabs>
              <w:tab w:val="right" w:leader="dot" w:pos="9016"/>
            </w:tabs>
            <w:rPr>
              <w:noProof/>
              <w:sz w:val="22"/>
              <w:szCs w:val="22"/>
              <w:lang w:eastAsia="en-GB"/>
            </w:rPr>
          </w:pPr>
          <w:hyperlink w:anchor="_Toc117766951" w:history="1">
            <w:r w:rsidRPr="00585A3F">
              <w:rPr>
                <w:rStyle w:val="Hyperlink"/>
                <w:noProof/>
              </w:rPr>
              <w:t>Ethical Procurement</w:t>
            </w:r>
            <w:r>
              <w:rPr>
                <w:noProof/>
                <w:webHidden/>
              </w:rPr>
              <w:tab/>
            </w:r>
            <w:r>
              <w:rPr>
                <w:noProof/>
                <w:webHidden/>
              </w:rPr>
              <w:fldChar w:fldCharType="begin"/>
            </w:r>
            <w:r>
              <w:rPr>
                <w:noProof/>
                <w:webHidden/>
              </w:rPr>
              <w:instrText xml:space="preserve"> PAGEREF _Toc117766951 \h </w:instrText>
            </w:r>
            <w:r>
              <w:rPr>
                <w:noProof/>
                <w:webHidden/>
              </w:rPr>
            </w:r>
            <w:r>
              <w:rPr>
                <w:noProof/>
                <w:webHidden/>
              </w:rPr>
              <w:fldChar w:fldCharType="separate"/>
            </w:r>
            <w:r>
              <w:rPr>
                <w:noProof/>
                <w:webHidden/>
              </w:rPr>
              <w:t>27</w:t>
            </w:r>
            <w:r>
              <w:rPr>
                <w:noProof/>
                <w:webHidden/>
              </w:rPr>
              <w:fldChar w:fldCharType="end"/>
            </w:r>
          </w:hyperlink>
        </w:p>
        <w:p w14:paraId="21E93780" w14:textId="77777777" w:rsidR="008D7D79" w:rsidRDefault="008D7D79">
          <w:pPr>
            <w:pStyle w:val="TOC1"/>
            <w:rPr>
              <w:noProof/>
              <w:sz w:val="22"/>
              <w:szCs w:val="22"/>
              <w:lang w:eastAsia="en-GB"/>
            </w:rPr>
          </w:pPr>
          <w:hyperlink w:anchor="_Toc117766952" w:history="1">
            <w:r w:rsidRPr="00585A3F">
              <w:rPr>
                <w:rStyle w:val="Hyperlink"/>
                <w:noProof/>
              </w:rPr>
              <w:t>Appendix 3 Key Priority Action Plan and reporting framework</w:t>
            </w:r>
            <w:r>
              <w:rPr>
                <w:noProof/>
                <w:webHidden/>
              </w:rPr>
              <w:tab/>
            </w:r>
            <w:r>
              <w:rPr>
                <w:noProof/>
                <w:webHidden/>
              </w:rPr>
              <w:fldChar w:fldCharType="begin"/>
            </w:r>
            <w:r>
              <w:rPr>
                <w:noProof/>
                <w:webHidden/>
              </w:rPr>
              <w:instrText xml:space="preserve"> PAGEREF _Toc117766952 \h </w:instrText>
            </w:r>
            <w:r>
              <w:rPr>
                <w:noProof/>
                <w:webHidden/>
              </w:rPr>
            </w:r>
            <w:r>
              <w:rPr>
                <w:noProof/>
                <w:webHidden/>
              </w:rPr>
              <w:fldChar w:fldCharType="separate"/>
            </w:r>
            <w:r>
              <w:rPr>
                <w:noProof/>
                <w:webHidden/>
              </w:rPr>
              <w:t>29</w:t>
            </w:r>
            <w:r>
              <w:rPr>
                <w:noProof/>
                <w:webHidden/>
              </w:rPr>
              <w:fldChar w:fldCharType="end"/>
            </w:r>
          </w:hyperlink>
        </w:p>
        <w:p w14:paraId="2978DFE7" w14:textId="77777777" w:rsidR="007C5C7A" w:rsidRDefault="007C5C7A">
          <w:r>
            <w:rPr>
              <w:b/>
              <w:bCs/>
              <w:noProof/>
            </w:rPr>
            <w:fldChar w:fldCharType="end"/>
          </w:r>
        </w:p>
      </w:sdtContent>
    </w:sdt>
    <w:p w14:paraId="1D326315" w14:textId="77777777" w:rsidR="002875F7" w:rsidRPr="002875F7" w:rsidRDefault="002875F7" w:rsidP="002875F7"/>
    <w:p w14:paraId="310FDF04" w14:textId="77777777" w:rsidR="002875F7" w:rsidRPr="002875F7" w:rsidRDefault="002875F7" w:rsidP="002875F7"/>
    <w:p w14:paraId="48EB73BF" w14:textId="77777777" w:rsidR="00CC36A6" w:rsidRDefault="00CC36A6">
      <w:r>
        <w:br w:type="page"/>
      </w:r>
    </w:p>
    <w:p w14:paraId="0BC43152" w14:textId="77777777" w:rsidR="002875F7" w:rsidRPr="002875F7" w:rsidRDefault="00F40F83" w:rsidP="002875F7">
      <w:pPr>
        <w:pStyle w:val="Heading1"/>
        <w:rPr>
          <w:rStyle w:val="IntenseReference"/>
          <w:b w:val="0"/>
          <w:bCs w:val="0"/>
          <w:i w:val="0"/>
          <w:iCs w:val="0"/>
          <w:caps/>
          <w:color w:val="FFFFFF" w:themeColor="background1"/>
        </w:rPr>
      </w:pPr>
      <w:bookmarkStart w:id="1" w:name="_Toc117766911"/>
      <w:r>
        <w:rPr>
          <w:rStyle w:val="IntenseReference"/>
          <w:b w:val="0"/>
          <w:bCs w:val="0"/>
          <w:i w:val="0"/>
          <w:iCs w:val="0"/>
          <w:caps/>
          <w:color w:val="FFFFFF" w:themeColor="background1"/>
        </w:rPr>
        <w:t>1</w:t>
      </w:r>
      <w:r w:rsidR="00EE64C0">
        <w:rPr>
          <w:rStyle w:val="IntenseReference"/>
          <w:b w:val="0"/>
          <w:bCs w:val="0"/>
          <w:i w:val="0"/>
          <w:iCs w:val="0"/>
          <w:caps/>
          <w:color w:val="FFFFFF" w:themeColor="background1"/>
        </w:rPr>
        <w:t xml:space="preserve">. </w:t>
      </w:r>
      <w:r w:rsidR="002875F7" w:rsidRPr="002875F7">
        <w:rPr>
          <w:rStyle w:val="IntenseReference"/>
          <w:b w:val="0"/>
          <w:bCs w:val="0"/>
          <w:i w:val="0"/>
          <w:iCs w:val="0"/>
          <w:caps/>
          <w:color w:val="FFFFFF" w:themeColor="background1"/>
        </w:rPr>
        <w:t>Background</w:t>
      </w:r>
      <w:bookmarkEnd w:id="1"/>
    </w:p>
    <w:p w14:paraId="00A4BC7B" w14:textId="77777777" w:rsidR="000436FB" w:rsidRDefault="000436FB" w:rsidP="000436FB">
      <w:r>
        <w:t>Welcome to the 2</w:t>
      </w:r>
      <w:r w:rsidRPr="000436FB">
        <w:rPr>
          <w:vertAlign w:val="superscript"/>
        </w:rPr>
        <w:t>nd</w:t>
      </w:r>
      <w:r>
        <w:t xml:space="preserve"> iteration of the Procurement Strategy designed to set out the proposed actions for the coming 3 years.</w:t>
      </w:r>
    </w:p>
    <w:p w14:paraId="4ADF7C2C" w14:textId="77777777" w:rsidR="000436FB" w:rsidRPr="00476FC9" w:rsidRDefault="000436FB" w:rsidP="000436FB">
      <w:r>
        <w:t>This Procurement Strategy has been prepared during a period of an ever changing procurement agenda and is mindful of the current financial climate.  Whilst the strategy sets out the aims and goals for the November 2022-  October 2025 period it will be reviewed on an annual basis, to reflect any changes in both national and local policies and priorities.  The following points are relevant to this strategy.</w:t>
      </w:r>
    </w:p>
    <w:p w14:paraId="7AAB7461" w14:textId="77777777" w:rsidR="000436FB" w:rsidRPr="000436FB" w:rsidRDefault="000436FB" w:rsidP="000436FB">
      <w:pPr>
        <w:pStyle w:val="ListParagraph"/>
        <w:numPr>
          <w:ilvl w:val="0"/>
          <w:numId w:val="1"/>
        </w:numPr>
        <w:rPr>
          <w:rFonts w:ascii="Calibri" w:hAnsi="Calibri" w:cs="Calibri"/>
          <w:bCs/>
          <w:sz w:val="20"/>
          <w:szCs w:val="20"/>
        </w:rPr>
      </w:pPr>
      <w:r w:rsidRPr="000436FB">
        <w:rPr>
          <w:rFonts w:ascii="Calibri" w:hAnsi="Calibri" w:cs="Calibri"/>
          <w:bCs/>
          <w:sz w:val="20"/>
          <w:szCs w:val="20"/>
        </w:rPr>
        <w:t>£300 Billion is spent through public procurement annually</w:t>
      </w:r>
      <w:r w:rsidR="00A72609">
        <w:rPr>
          <w:rFonts w:ascii="Calibri" w:hAnsi="Calibri" w:cs="Calibri"/>
          <w:bCs/>
          <w:sz w:val="20"/>
          <w:szCs w:val="20"/>
        </w:rPr>
        <w:t xml:space="preserve"> on goods, works and services</w:t>
      </w:r>
      <w:r w:rsidRPr="000436FB">
        <w:rPr>
          <w:rFonts w:ascii="Calibri" w:hAnsi="Calibri" w:cs="Calibri"/>
          <w:bCs/>
          <w:sz w:val="20"/>
          <w:szCs w:val="20"/>
        </w:rPr>
        <w:t>.</w:t>
      </w:r>
    </w:p>
    <w:p w14:paraId="1E9CB516" w14:textId="77777777" w:rsidR="000436FB" w:rsidRPr="000436FB" w:rsidRDefault="000436FB" w:rsidP="000436FB">
      <w:pPr>
        <w:pStyle w:val="ListParagraph"/>
        <w:numPr>
          <w:ilvl w:val="0"/>
          <w:numId w:val="1"/>
        </w:numPr>
        <w:rPr>
          <w:rFonts w:ascii="Calibri" w:hAnsi="Calibri" w:cs="Calibri"/>
          <w:bCs/>
          <w:sz w:val="20"/>
          <w:szCs w:val="20"/>
        </w:rPr>
      </w:pPr>
      <w:r w:rsidRPr="000436FB">
        <w:rPr>
          <w:rFonts w:ascii="Calibri" w:hAnsi="Calibri" w:cs="Calibri"/>
          <w:bCs/>
          <w:sz w:val="20"/>
          <w:szCs w:val="20"/>
        </w:rPr>
        <w:t>How public money is being spent is changing with the introduction of the Procurement Bill 2022, cutting 350 EU rules and 4 existing sets of UK Regulations to a single Regulatory Framework.</w:t>
      </w:r>
    </w:p>
    <w:p w14:paraId="7CDBCC9A" w14:textId="455FF842" w:rsidR="000436FB" w:rsidRPr="000436FB" w:rsidRDefault="000436FB" w:rsidP="000436FB">
      <w:pPr>
        <w:pStyle w:val="ListParagraph"/>
        <w:numPr>
          <w:ilvl w:val="0"/>
          <w:numId w:val="1"/>
        </w:numPr>
        <w:rPr>
          <w:rFonts w:ascii="Calibri" w:hAnsi="Calibri" w:cs="Calibri"/>
          <w:bCs/>
          <w:sz w:val="20"/>
          <w:szCs w:val="20"/>
        </w:rPr>
      </w:pPr>
      <w:r w:rsidRPr="000436FB">
        <w:rPr>
          <w:rFonts w:ascii="Calibri" w:hAnsi="Calibri" w:cs="Calibri"/>
          <w:bCs/>
          <w:sz w:val="20"/>
          <w:szCs w:val="20"/>
        </w:rPr>
        <w:t xml:space="preserve">This Procurement Strategy has been designed to align to the </w:t>
      </w:r>
      <w:r w:rsidR="00FF009D">
        <w:rPr>
          <w:rFonts w:ascii="Calibri" w:hAnsi="Calibri" w:cs="Calibri"/>
          <w:bCs/>
          <w:sz w:val="20"/>
          <w:szCs w:val="20"/>
        </w:rPr>
        <w:t>C</w:t>
      </w:r>
      <w:r w:rsidRPr="000436FB">
        <w:rPr>
          <w:rFonts w:ascii="Calibri" w:hAnsi="Calibri" w:cs="Calibri"/>
          <w:bCs/>
          <w:sz w:val="20"/>
          <w:szCs w:val="20"/>
        </w:rPr>
        <w:t>ouncil</w:t>
      </w:r>
      <w:r w:rsidR="00D64858">
        <w:rPr>
          <w:rFonts w:ascii="Calibri" w:hAnsi="Calibri" w:cs="Calibri"/>
          <w:bCs/>
          <w:sz w:val="20"/>
          <w:szCs w:val="20"/>
        </w:rPr>
        <w:t>’</w:t>
      </w:r>
      <w:r w:rsidRPr="000436FB">
        <w:rPr>
          <w:rFonts w:ascii="Calibri" w:hAnsi="Calibri" w:cs="Calibri"/>
          <w:bCs/>
          <w:sz w:val="20"/>
          <w:szCs w:val="20"/>
        </w:rPr>
        <w:t xml:space="preserve">s values and priorities along with the procurement strategies of the </w:t>
      </w:r>
      <w:r w:rsidR="00974A76">
        <w:rPr>
          <w:rFonts w:ascii="Calibri" w:hAnsi="Calibri" w:cs="Calibri"/>
          <w:bCs/>
          <w:sz w:val="20"/>
          <w:szCs w:val="20"/>
        </w:rPr>
        <w:t>C</w:t>
      </w:r>
      <w:r w:rsidRPr="000436FB">
        <w:rPr>
          <w:rFonts w:ascii="Calibri" w:hAnsi="Calibri" w:cs="Calibri"/>
          <w:bCs/>
          <w:sz w:val="20"/>
          <w:szCs w:val="20"/>
        </w:rPr>
        <w:t>ouncil</w:t>
      </w:r>
      <w:r w:rsidR="00D64858">
        <w:rPr>
          <w:rFonts w:ascii="Calibri" w:hAnsi="Calibri" w:cs="Calibri"/>
          <w:bCs/>
          <w:sz w:val="20"/>
          <w:szCs w:val="20"/>
        </w:rPr>
        <w:t>’</w:t>
      </w:r>
      <w:r w:rsidRPr="000436FB">
        <w:rPr>
          <w:rFonts w:ascii="Calibri" w:hAnsi="Calibri" w:cs="Calibri"/>
          <w:bCs/>
          <w:sz w:val="20"/>
          <w:szCs w:val="20"/>
        </w:rPr>
        <w:t>s wholly owned companies to ensure that the group benefit from both financial savings and efficiencies from joint procurements and frameworks wherever possible.</w:t>
      </w:r>
    </w:p>
    <w:p w14:paraId="17453851" w14:textId="77777777" w:rsidR="000436FB" w:rsidRPr="000436FB" w:rsidRDefault="000436FB" w:rsidP="000436FB">
      <w:pPr>
        <w:pStyle w:val="ListParagraph"/>
        <w:numPr>
          <w:ilvl w:val="0"/>
          <w:numId w:val="1"/>
        </w:numPr>
        <w:rPr>
          <w:rFonts w:ascii="Calibri" w:hAnsi="Calibri" w:cs="Calibri"/>
          <w:bCs/>
          <w:sz w:val="20"/>
          <w:szCs w:val="20"/>
        </w:rPr>
      </w:pPr>
      <w:r w:rsidRPr="000436FB">
        <w:rPr>
          <w:rFonts w:ascii="Calibri" w:hAnsi="Calibri" w:cs="Calibri"/>
          <w:bCs/>
          <w:sz w:val="20"/>
          <w:szCs w:val="20"/>
        </w:rPr>
        <w:t>This Procurement Strategy is designed to support a culture of devolved procurement within the constraints of the Procurement Regulations and the Council</w:t>
      </w:r>
      <w:r w:rsidR="00D64858">
        <w:rPr>
          <w:rFonts w:ascii="Calibri" w:hAnsi="Calibri" w:cs="Calibri"/>
          <w:bCs/>
          <w:sz w:val="20"/>
          <w:szCs w:val="20"/>
        </w:rPr>
        <w:t>’</w:t>
      </w:r>
      <w:r w:rsidRPr="000436FB">
        <w:rPr>
          <w:rFonts w:ascii="Calibri" w:hAnsi="Calibri" w:cs="Calibri"/>
          <w:bCs/>
          <w:sz w:val="20"/>
          <w:szCs w:val="20"/>
        </w:rPr>
        <w:t>s Constitution.</w:t>
      </w:r>
    </w:p>
    <w:p w14:paraId="558E4561" w14:textId="77777777" w:rsidR="000436FB" w:rsidRPr="000436FB" w:rsidRDefault="000436FB" w:rsidP="000436FB">
      <w:pPr>
        <w:pStyle w:val="ListParagraph"/>
        <w:numPr>
          <w:ilvl w:val="0"/>
          <w:numId w:val="1"/>
        </w:numPr>
        <w:rPr>
          <w:rFonts w:ascii="Calibri" w:hAnsi="Calibri" w:cs="Calibri"/>
          <w:bCs/>
          <w:sz w:val="20"/>
          <w:szCs w:val="20"/>
        </w:rPr>
      </w:pPr>
      <w:r w:rsidRPr="000436FB">
        <w:rPr>
          <w:rFonts w:ascii="Calibri" w:hAnsi="Calibri" w:cs="Calibri"/>
          <w:bCs/>
          <w:sz w:val="20"/>
          <w:szCs w:val="20"/>
        </w:rPr>
        <w:t>The Council spends circa £1</w:t>
      </w:r>
      <w:r w:rsidR="00A72609">
        <w:rPr>
          <w:rFonts w:ascii="Calibri" w:hAnsi="Calibri" w:cs="Calibri"/>
          <w:bCs/>
          <w:sz w:val="20"/>
          <w:szCs w:val="20"/>
        </w:rPr>
        <w:t>5</w:t>
      </w:r>
      <w:r w:rsidRPr="000436FB">
        <w:rPr>
          <w:rFonts w:ascii="Calibri" w:hAnsi="Calibri" w:cs="Calibri"/>
          <w:bCs/>
          <w:sz w:val="20"/>
          <w:szCs w:val="20"/>
        </w:rPr>
        <w:t>0m per annum on procuring goods, services and works including Capital, £1</w:t>
      </w:r>
      <w:r w:rsidR="00A72609">
        <w:rPr>
          <w:rFonts w:ascii="Calibri" w:hAnsi="Calibri" w:cs="Calibri"/>
          <w:bCs/>
          <w:sz w:val="20"/>
          <w:szCs w:val="20"/>
        </w:rPr>
        <w:t>00</w:t>
      </w:r>
      <w:r w:rsidRPr="000436FB">
        <w:rPr>
          <w:rFonts w:ascii="Calibri" w:hAnsi="Calibri" w:cs="Calibri"/>
          <w:bCs/>
          <w:sz w:val="20"/>
          <w:szCs w:val="20"/>
        </w:rPr>
        <w:t>m excluding Capital.</w:t>
      </w:r>
    </w:p>
    <w:p w14:paraId="4E087ECB" w14:textId="77777777" w:rsidR="000436FB" w:rsidRDefault="000436FB" w:rsidP="000436FB">
      <w:pPr>
        <w:pStyle w:val="ListParagraph"/>
        <w:numPr>
          <w:ilvl w:val="0"/>
          <w:numId w:val="1"/>
        </w:numPr>
        <w:rPr>
          <w:rFonts w:ascii="Calibri" w:hAnsi="Calibri" w:cs="Calibri"/>
          <w:bCs/>
          <w:sz w:val="20"/>
          <w:szCs w:val="20"/>
        </w:rPr>
      </w:pPr>
      <w:r w:rsidRPr="000436FB">
        <w:rPr>
          <w:rFonts w:ascii="Calibri" w:hAnsi="Calibri" w:cs="Calibri"/>
          <w:bCs/>
          <w:sz w:val="20"/>
          <w:szCs w:val="20"/>
        </w:rPr>
        <w:t xml:space="preserve">Procurement will work with all of the </w:t>
      </w:r>
      <w:r w:rsidR="00FF009D">
        <w:rPr>
          <w:rFonts w:ascii="Calibri" w:hAnsi="Calibri" w:cs="Calibri"/>
          <w:bCs/>
          <w:sz w:val="20"/>
          <w:szCs w:val="20"/>
        </w:rPr>
        <w:t>C</w:t>
      </w:r>
      <w:r w:rsidRPr="000436FB">
        <w:rPr>
          <w:rFonts w:ascii="Calibri" w:hAnsi="Calibri" w:cs="Calibri"/>
          <w:bCs/>
          <w:sz w:val="20"/>
          <w:szCs w:val="20"/>
        </w:rPr>
        <w:t xml:space="preserve">ouncil service areas and </w:t>
      </w:r>
      <w:r w:rsidR="00DC0947">
        <w:rPr>
          <w:rFonts w:ascii="Calibri" w:hAnsi="Calibri" w:cs="Calibri"/>
          <w:bCs/>
          <w:sz w:val="20"/>
          <w:szCs w:val="20"/>
        </w:rPr>
        <w:t>its wholly owned companies within the Group</w:t>
      </w:r>
      <w:r w:rsidRPr="000436FB">
        <w:rPr>
          <w:rFonts w:ascii="Calibri" w:hAnsi="Calibri" w:cs="Calibri"/>
          <w:bCs/>
          <w:sz w:val="20"/>
          <w:szCs w:val="20"/>
        </w:rPr>
        <w:t xml:space="preserve"> (</w:t>
      </w:r>
      <w:r w:rsidR="00FF009D">
        <w:rPr>
          <w:rFonts w:ascii="Calibri" w:hAnsi="Calibri" w:cs="Calibri"/>
          <w:bCs/>
          <w:sz w:val="20"/>
          <w:szCs w:val="20"/>
        </w:rPr>
        <w:t>Oxford Direct Services Limited (</w:t>
      </w:r>
      <w:r w:rsidRPr="000436FB">
        <w:rPr>
          <w:rFonts w:ascii="Calibri" w:hAnsi="Calibri" w:cs="Calibri"/>
          <w:bCs/>
          <w:sz w:val="20"/>
          <w:szCs w:val="20"/>
        </w:rPr>
        <w:t>ODSL</w:t>
      </w:r>
      <w:r w:rsidR="00FF009D">
        <w:rPr>
          <w:rFonts w:ascii="Calibri" w:hAnsi="Calibri" w:cs="Calibri"/>
          <w:bCs/>
          <w:sz w:val="20"/>
          <w:szCs w:val="20"/>
        </w:rPr>
        <w:t>)</w:t>
      </w:r>
      <w:r w:rsidRPr="000436FB">
        <w:rPr>
          <w:rFonts w:ascii="Calibri" w:hAnsi="Calibri" w:cs="Calibri"/>
          <w:bCs/>
          <w:sz w:val="20"/>
          <w:szCs w:val="20"/>
        </w:rPr>
        <w:t xml:space="preserve">, </w:t>
      </w:r>
      <w:r w:rsidR="00FF009D">
        <w:rPr>
          <w:rFonts w:ascii="Calibri" w:hAnsi="Calibri" w:cs="Calibri"/>
          <w:bCs/>
          <w:sz w:val="20"/>
          <w:szCs w:val="20"/>
        </w:rPr>
        <w:t>Oxford Direct Services Trading Limited (</w:t>
      </w:r>
      <w:r w:rsidRPr="000436FB">
        <w:rPr>
          <w:rFonts w:ascii="Calibri" w:hAnsi="Calibri" w:cs="Calibri"/>
          <w:bCs/>
          <w:sz w:val="20"/>
          <w:szCs w:val="20"/>
        </w:rPr>
        <w:t>ODSTL</w:t>
      </w:r>
      <w:r w:rsidR="00FF009D">
        <w:rPr>
          <w:rFonts w:ascii="Calibri" w:hAnsi="Calibri" w:cs="Calibri"/>
          <w:bCs/>
          <w:sz w:val="20"/>
          <w:szCs w:val="20"/>
        </w:rPr>
        <w:t>)</w:t>
      </w:r>
      <w:r w:rsidRPr="000436FB">
        <w:rPr>
          <w:rFonts w:ascii="Calibri" w:hAnsi="Calibri" w:cs="Calibri"/>
          <w:bCs/>
          <w:sz w:val="20"/>
          <w:szCs w:val="20"/>
        </w:rPr>
        <w:t>,</w:t>
      </w:r>
      <w:r w:rsidR="00FF009D">
        <w:rPr>
          <w:rFonts w:ascii="Calibri" w:hAnsi="Calibri" w:cs="Calibri"/>
          <w:bCs/>
          <w:sz w:val="20"/>
          <w:szCs w:val="20"/>
        </w:rPr>
        <w:t xml:space="preserve"> Oxford City Housing Limited </w:t>
      </w:r>
      <w:r w:rsidR="00A159DD">
        <w:rPr>
          <w:rFonts w:ascii="Calibri" w:hAnsi="Calibri" w:cs="Calibri"/>
          <w:bCs/>
          <w:sz w:val="20"/>
          <w:szCs w:val="20"/>
        </w:rPr>
        <w:t>(</w:t>
      </w:r>
      <w:r w:rsidR="00A159DD" w:rsidRPr="000436FB">
        <w:rPr>
          <w:rFonts w:ascii="Calibri" w:hAnsi="Calibri" w:cs="Calibri"/>
          <w:bCs/>
          <w:sz w:val="20"/>
          <w:szCs w:val="20"/>
        </w:rPr>
        <w:t>OCHL</w:t>
      </w:r>
      <w:r w:rsidR="00A159DD">
        <w:rPr>
          <w:rFonts w:ascii="Calibri" w:hAnsi="Calibri" w:cs="Calibri"/>
          <w:bCs/>
          <w:sz w:val="20"/>
          <w:szCs w:val="20"/>
        </w:rPr>
        <w:t xml:space="preserve">) </w:t>
      </w:r>
      <w:r w:rsidR="00A159DD" w:rsidRPr="000436FB">
        <w:rPr>
          <w:rFonts w:ascii="Calibri" w:hAnsi="Calibri" w:cs="Calibri"/>
          <w:bCs/>
          <w:sz w:val="20"/>
          <w:szCs w:val="20"/>
        </w:rPr>
        <w:t>and</w:t>
      </w:r>
      <w:r w:rsidR="00FF009D">
        <w:rPr>
          <w:rFonts w:ascii="Calibri" w:hAnsi="Calibri" w:cs="Calibri"/>
          <w:bCs/>
          <w:sz w:val="20"/>
          <w:szCs w:val="20"/>
        </w:rPr>
        <w:t xml:space="preserve"> Oxford City Housing Development Limited</w:t>
      </w:r>
      <w:r w:rsidRPr="000436FB">
        <w:rPr>
          <w:rFonts w:ascii="Calibri" w:hAnsi="Calibri" w:cs="Calibri"/>
          <w:bCs/>
          <w:sz w:val="20"/>
          <w:szCs w:val="20"/>
        </w:rPr>
        <w:t xml:space="preserve"> </w:t>
      </w:r>
      <w:r w:rsidR="00A159DD">
        <w:rPr>
          <w:rFonts w:ascii="Calibri" w:hAnsi="Calibri" w:cs="Calibri"/>
          <w:bCs/>
          <w:sz w:val="20"/>
          <w:szCs w:val="20"/>
        </w:rPr>
        <w:t>(</w:t>
      </w:r>
      <w:r w:rsidRPr="000436FB">
        <w:rPr>
          <w:rFonts w:ascii="Calibri" w:hAnsi="Calibri" w:cs="Calibri"/>
          <w:bCs/>
          <w:sz w:val="20"/>
          <w:szCs w:val="20"/>
        </w:rPr>
        <w:t>OCHDL) to understand the environment it is working within and the impact to the entity or service area to enable effective planning of how procurement can support.</w:t>
      </w:r>
    </w:p>
    <w:p w14:paraId="36F50272" w14:textId="77777777" w:rsidR="00E20913" w:rsidRDefault="00E20913" w:rsidP="000436FB">
      <w:pPr>
        <w:pStyle w:val="ListParagraph"/>
        <w:numPr>
          <w:ilvl w:val="0"/>
          <w:numId w:val="1"/>
        </w:numPr>
        <w:rPr>
          <w:rFonts w:ascii="Calibri" w:hAnsi="Calibri" w:cs="Calibri"/>
          <w:bCs/>
          <w:sz w:val="20"/>
          <w:szCs w:val="20"/>
        </w:rPr>
      </w:pPr>
      <w:r>
        <w:rPr>
          <w:rFonts w:ascii="Calibri" w:hAnsi="Calibri" w:cs="Calibri"/>
          <w:bCs/>
          <w:sz w:val="20"/>
          <w:szCs w:val="20"/>
        </w:rPr>
        <w:t>This strategy further embeds the council’s commitment to Community Wealth Building and delivering Social Value through procurement that began with the previous strategy.</w:t>
      </w:r>
    </w:p>
    <w:p w14:paraId="706B9AF0" w14:textId="77777777" w:rsidR="007D5B19" w:rsidRDefault="007D5B19" w:rsidP="007D5B19">
      <w:pPr>
        <w:pStyle w:val="ListParagraph"/>
        <w:ind w:left="1440"/>
        <w:rPr>
          <w:rFonts w:ascii="Calibri" w:hAnsi="Calibri" w:cs="Calibri"/>
          <w:bCs/>
          <w:sz w:val="20"/>
          <w:szCs w:val="20"/>
        </w:rPr>
      </w:pPr>
    </w:p>
    <w:p w14:paraId="6B23ECFC" w14:textId="0DC3E7E0" w:rsidR="00A333BE" w:rsidRPr="00CB7AA5" w:rsidRDefault="00F40F83" w:rsidP="00A159DD">
      <w:pPr>
        <w:pStyle w:val="Heading2"/>
      </w:pPr>
      <w:bookmarkStart w:id="2" w:name="_Toc117766912"/>
      <w:r>
        <w:rPr>
          <w:rFonts w:ascii="Calibri" w:hAnsi="Calibri" w:cs="Calibri"/>
          <w:bCs/>
        </w:rPr>
        <w:t>1</w:t>
      </w:r>
      <w:r w:rsidR="00CB7AA5">
        <w:rPr>
          <w:rFonts w:ascii="Calibri" w:hAnsi="Calibri" w:cs="Calibri"/>
          <w:bCs/>
        </w:rPr>
        <w:t xml:space="preserve">.1 </w:t>
      </w:r>
      <w:r w:rsidR="00A333BE">
        <w:rPr>
          <w:rFonts w:ascii="Calibri" w:hAnsi="Calibri" w:cs="Calibri"/>
          <w:bCs/>
        </w:rPr>
        <w:t>S</w:t>
      </w:r>
      <w:r w:rsidR="00A333BE" w:rsidRPr="00CB7AA5">
        <w:t xml:space="preserve">uccess to build </w:t>
      </w:r>
      <w:r w:rsidR="007466A2" w:rsidRPr="00CB7AA5">
        <w:t>on as</w:t>
      </w:r>
      <w:r w:rsidR="00A333BE" w:rsidRPr="00CB7AA5">
        <w:t xml:space="preserve"> a result of the </w:t>
      </w:r>
      <w:r w:rsidR="00974A76">
        <w:t>first</w:t>
      </w:r>
      <w:r w:rsidR="00974A76" w:rsidRPr="00CB7AA5">
        <w:t xml:space="preserve"> </w:t>
      </w:r>
      <w:r w:rsidR="00A333BE" w:rsidRPr="00CB7AA5">
        <w:t>iteration of the procurement Strategy relating to Social, equalities and environmental impacts.</w:t>
      </w:r>
      <w:bookmarkEnd w:id="2"/>
    </w:p>
    <w:p w14:paraId="5C476CDE" w14:textId="77777777" w:rsidR="007D5B19" w:rsidRDefault="007466A2" w:rsidP="00A159DD">
      <w:pPr>
        <w:pStyle w:val="Heading3"/>
      </w:pPr>
      <w:bookmarkStart w:id="3" w:name="_Toc117766913"/>
      <w:r>
        <w:t>2020-21</w:t>
      </w:r>
      <w:bookmarkEnd w:id="3"/>
      <w:r>
        <w:t xml:space="preserve"> </w:t>
      </w:r>
    </w:p>
    <w:p w14:paraId="3B285B16" w14:textId="2D5DFB6E" w:rsidR="007D5B19" w:rsidRDefault="007D5B19" w:rsidP="007D5B19">
      <w:r>
        <w:t xml:space="preserve">During </w:t>
      </w:r>
      <w:r w:rsidR="002871D6">
        <w:t xml:space="preserve">the </w:t>
      </w:r>
      <w:r>
        <w:t xml:space="preserve">2020 to 2021 procurement strategy </w:t>
      </w:r>
      <w:r w:rsidR="00974A76">
        <w:t>for the first time</w:t>
      </w:r>
      <w:r w:rsidR="002871D6">
        <w:t xml:space="preserve"> a 5% weighting to tenders was</w:t>
      </w:r>
      <w:r w:rsidR="00974A76">
        <w:t xml:space="preserve"> applied</w:t>
      </w:r>
      <w:r>
        <w:t xml:space="preserve"> </w:t>
      </w:r>
      <w:r w:rsidR="00974A76">
        <w:t>(</w:t>
      </w:r>
      <w:r>
        <w:t>where practical and proportionate to do so</w:t>
      </w:r>
      <w:r w:rsidR="00974A76">
        <w:t>)</w:t>
      </w:r>
      <w:r>
        <w:t xml:space="preserve"> </w:t>
      </w:r>
      <w:r w:rsidR="00974A76">
        <w:t>relating to social value.</w:t>
      </w:r>
      <w:r>
        <w:t xml:space="preserve"> </w:t>
      </w:r>
      <w:r w:rsidR="00974A76">
        <w:t xml:space="preserve">This </w:t>
      </w:r>
      <w:r>
        <w:t xml:space="preserve">resulted in a range of supplier commitments </w:t>
      </w:r>
      <w:r w:rsidR="00974A76">
        <w:t>including</w:t>
      </w:r>
      <w:r>
        <w:t>:-</w:t>
      </w:r>
    </w:p>
    <w:p w14:paraId="163B3E0D" w14:textId="77777777" w:rsidR="007466A2" w:rsidRPr="00CA292C" w:rsidRDefault="007D5B19"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The identification of a</w:t>
      </w:r>
      <w:r w:rsidR="007466A2" w:rsidRPr="00CA292C">
        <w:rPr>
          <w:rFonts w:asciiTheme="minorHAnsi" w:hAnsiTheme="minorHAnsi" w:cstheme="minorHAnsi"/>
          <w:bCs/>
          <w:sz w:val="20"/>
          <w:szCs w:val="20"/>
        </w:rPr>
        <w:t xml:space="preserve"> range of social and physical infrastructure to deliver development which is sustainable</w:t>
      </w:r>
    </w:p>
    <w:p w14:paraId="79C83124" w14:textId="77777777" w:rsidR="007466A2" w:rsidRPr="00CA292C" w:rsidRDefault="007466A2"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Work to quantify the costs of low carbon construction and find ways to meet carbon targets cost effectively</w:t>
      </w:r>
    </w:p>
    <w:p w14:paraId="101229AB" w14:textId="77777777" w:rsidR="007466A2" w:rsidRPr="00CA292C" w:rsidRDefault="007466A2"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 xml:space="preserve">Support of </w:t>
      </w:r>
      <w:r w:rsidR="007D5B19" w:rsidRPr="00CA292C">
        <w:rPr>
          <w:rFonts w:asciiTheme="minorHAnsi" w:hAnsiTheme="minorHAnsi" w:cstheme="minorHAnsi"/>
          <w:bCs/>
          <w:sz w:val="20"/>
          <w:szCs w:val="20"/>
        </w:rPr>
        <w:t xml:space="preserve">the </w:t>
      </w:r>
      <w:r w:rsidRPr="00CA292C">
        <w:rPr>
          <w:rFonts w:asciiTheme="minorHAnsi" w:hAnsiTheme="minorHAnsi" w:cstheme="minorHAnsi"/>
          <w:bCs/>
          <w:sz w:val="20"/>
          <w:szCs w:val="20"/>
        </w:rPr>
        <w:t>Oxford Living Wage</w:t>
      </w:r>
    </w:p>
    <w:p w14:paraId="23D534B4" w14:textId="77777777" w:rsidR="007466A2" w:rsidRPr="00CA292C" w:rsidRDefault="007466A2"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Donation of gifts to the charity Crisis</w:t>
      </w:r>
    </w:p>
    <w:p w14:paraId="45539DFB" w14:textId="77777777" w:rsidR="007466A2" w:rsidRPr="00CA292C" w:rsidRDefault="00CB7AA5"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Support</w:t>
      </w:r>
      <w:r w:rsidR="007D5B19" w:rsidRPr="00CA292C">
        <w:rPr>
          <w:rFonts w:asciiTheme="minorHAnsi" w:hAnsiTheme="minorHAnsi" w:cstheme="minorHAnsi"/>
          <w:bCs/>
          <w:sz w:val="20"/>
          <w:szCs w:val="20"/>
        </w:rPr>
        <w:t xml:space="preserve"> for</w:t>
      </w:r>
      <w:r w:rsidRPr="00CA292C">
        <w:rPr>
          <w:rFonts w:asciiTheme="minorHAnsi" w:hAnsiTheme="minorHAnsi" w:cstheme="minorHAnsi"/>
          <w:bCs/>
          <w:sz w:val="20"/>
          <w:szCs w:val="20"/>
        </w:rPr>
        <w:t xml:space="preserve"> CV</w:t>
      </w:r>
      <w:r w:rsidR="007466A2" w:rsidRPr="00CA292C">
        <w:rPr>
          <w:rFonts w:asciiTheme="minorHAnsi" w:hAnsiTheme="minorHAnsi" w:cstheme="minorHAnsi"/>
          <w:bCs/>
          <w:sz w:val="20"/>
          <w:szCs w:val="20"/>
        </w:rPr>
        <w:t>/Job application</w:t>
      </w:r>
      <w:r w:rsidR="007D5B19" w:rsidRPr="00CA292C">
        <w:rPr>
          <w:rFonts w:asciiTheme="minorHAnsi" w:hAnsiTheme="minorHAnsi" w:cstheme="minorHAnsi"/>
          <w:bCs/>
          <w:sz w:val="20"/>
          <w:szCs w:val="20"/>
        </w:rPr>
        <w:t xml:space="preserve">s and </w:t>
      </w:r>
      <w:r w:rsidR="00974A76">
        <w:rPr>
          <w:rFonts w:asciiTheme="minorHAnsi" w:hAnsiTheme="minorHAnsi" w:cstheme="minorHAnsi"/>
          <w:bCs/>
          <w:sz w:val="20"/>
          <w:szCs w:val="20"/>
        </w:rPr>
        <w:t xml:space="preserve">/ </w:t>
      </w:r>
      <w:r w:rsidR="007D5B19" w:rsidRPr="00CA292C">
        <w:rPr>
          <w:rFonts w:asciiTheme="minorHAnsi" w:hAnsiTheme="minorHAnsi" w:cstheme="minorHAnsi"/>
          <w:bCs/>
          <w:sz w:val="20"/>
          <w:szCs w:val="20"/>
        </w:rPr>
        <w:t xml:space="preserve">or </w:t>
      </w:r>
      <w:r w:rsidR="007466A2" w:rsidRPr="00CA292C">
        <w:rPr>
          <w:rFonts w:asciiTheme="minorHAnsi" w:hAnsiTheme="minorHAnsi" w:cstheme="minorHAnsi"/>
          <w:bCs/>
          <w:sz w:val="20"/>
          <w:szCs w:val="20"/>
        </w:rPr>
        <w:t>local job fairs.</w:t>
      </w:r>
    </w:p>
    <w:p w14:paraId="33E06FB0" w14:textId="77777777" w:rsidR="00CB7AA5" w:rsidRDefault="00CB7AA5" w:rsidP="002875F7">
      <w:r>
        <w:t>The value</w:t>
      </w:r>
      <w:r w:rsidR="00FC239B">
        <w:t xml:space="preserve"> in the Social Value commitments</w:t>
      </w:r>
      <w:r>
        <w:t xml:space="preserve"> in the initial year of tracking was not recorded</w:t>
      </w:r>
      <w:r w:rsidR="00974A76">
        <w:t>.</w:t>
      </w:r>
    </w:p>
    <w:p w14:paraId="4429940B" w14:textId="77777777" w:rsidR="007D5B19" w:rsidRDefault="00CB7AA5" w:rsidP="007D5B19">
      <w:pPr>
        <w:pStyle w:val="Heading3"/>
      </w:pPr>
      <w:bookmarkStart w:id="4" w:name="_Toc117766914"/>
      <w:r>
        <w:t>2021 – 2022</w:t>
      </w:r>
      <w:bookmarkEnd w:id="4"/>
      <w:r>
        <w:t xml:space="preserve"> </w:t>
      </w:r>
    </w:p>
    <w:p w14:paraId="0A21536C" w14:textId="71081887" w:rsidR="007D5B19" w:rsidRPr="007D5B19" w:rsidRDefault="007D5B19" w:rsidP="007D5B19">
      <w:r>
        <w:t>During 2021 to 2022 where proportionate to do so, the Council applied a weightin</w:t>
      </w:r>
      <w:r w:rsidR="00CC36A6">
        <w:t>g of between 5% and 10% to tenders for the provision of goods, works and or services</w:t>
      </w:r>
      <w:r w:rsidR="00974A76">
        <w:t xml:space="preserve">, and promoted </w:t>
      </w:r>
      <w:r>
        <w:t>10% towards the end of the 2022 financial year</w:t>
      </w:r>
      <w:r w:rsidR="00190C4A">
        <w:t xml:space="preserve"> in-line with best practice</w:t>
      </w:r>
      <w:r w:rsidR="00CC36A6">
        <w:t xml:space="preserve">.  Procurement </w:t>
      </w:r>
      <w:r>
        <w:t xml:space="preserve">began tracking </w:t>
      </w:r>
      <w:r w:rsidR="00CC36A6">
        <w:t>social value on the awarded contracts</w:t>
      </w:r>
      <w:r>
        <w:t xml:space="preserve"> to ensure that supplier </w:t>
      </w:r>
      <w:r w:rsidR="00CC36A6">
        <w:t>promises</w:t>
      </w:r>
      <w:r>
        <w:t xml:space="preserve"> were delivered.</w:t>
      </w:r>
      <w:r w:rsidR="00CC36A6">
        <w:t xml:space="preserve">  This resulted </w:t>
      </w:r>
      <w:r w:rsidR="002068AC">
        <w:t>in a range of</w:t>
      </w:r>
      <w:r w:rsidR="00CC36A6">
        <w:t xml:space="preserve"> commitments to the Council supporting </w:t>
      </w:r>
      <w:r w:rsidR="00974A76">
        <w:t>l</w:t>
      </w:r>
      <w:r w:rsidR="00CC36A6">
        <w:t>ocal communities of Oxford</w:t>
      </w:r>
      <w:r w:rsidR="002068AC">
        <w:t xml:space="preserve">, </w:t>
      </w:r>
      <w:r w:rsidR="00974A76">
        <w:t>including</w:t>
      </w:r>
      <w:r w:rsidR="002068AC">
        <w:t>:</w:t>
      </w:r>
    </w:p>
    <w:p w14:paraId="3B8A1F84"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Support of Oxford Living Wage</w:t>
      </w:r>
    </w:p>
    <w:p w14:paraId="3CE7D728"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Wellbeing white paper, podcasts, work with SME and Local Business</w:t>
      </w:r>
    </w:p>
    <w:p w14:paraId="2535E8F5"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Student Placements</w:t>
      </w:r>
    </w:p>
    <w:p w14:paraId="2036C72A"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Engaging local schools with the CIPFA Management games</w:t>
      </w:r>
    </w:p>
    <w:p w14:paraId="708346A9"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Use of low loss/high efficiency transformers</w:t>
      </w:r>
    </w:p>
    <w:p w14:paraId="773AA845"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Environmental management KPI’s to reduce carbon footprint</w:t>
      </w:r>
    </w:p>
    <w:p w14:paraId="2056480B"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Excess food donation to local community</w:t>
      </w:r>
    </w:p>
    <w:p w14:paraId="291693E8"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Commitment to work with ASPIRE and other VCSE’s</w:t>
      </w:r>
    </w:p>
    <w:p w14:paraId="6234F0D0" w14:textId="77777777" w:rsidR="008B51E8" w:rsidRPr="00CA292C" w:rsidRDefault="008B51E8"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 xml:space="preserve">H &amp; S training to boost employment </w:t>
      </w:r>
    </w:p>
    <w:p w14:paraId="24074AFC"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Sports sponsorship</w:t>
      </w:r>
    </w:p>
    <w:p w14:paraId="46D45CD8"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Donation of equipment</w:t>
      </w:r>
    </w:p>
    <w:p w14:paraId="5BFAA641"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Coaching discussions for business impacted by Covid-19</w:t>
      </w:r>
    </w:p>
    <w:p w14:paraId="39C8F902"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Support of woodland trust, planting trees</w:t>
      </w:r>
    </w:p>
    <w:p w14:paraId="6E05A30E" w14:textId="77777777" w:rsidR="00FC5B73" w:rsidRPr="00CA292C" w:rsidRDefault="00A159DD"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5 paid</w:t>
      </w:r>
      <w:r w:rsidR="00FC5B73" w:rsidRPr="00CA292C">
        <w:rPr>
          <w:rFonts w:asciiTheme="minorHAnsi" w:hAnsiTheme="minorHAnsi" w:cstheme="minorHAnsi"/>
          <w:bCs/>
          <w:sz w:val="20"/>
          <w:szCs w:val="20"/>
        </w:rPr>
        <w:t xml:space="preserve"> work placements for students at Blackbird Leys </w:t>
      </w:r>
      <w:r w:rsidR="0031261D" w:rsidRPr="00CA292C">
        <w:rPr>
          <w:rFonts w:asciiTheme="minorHAnsi" w:hAnsiTheme="minorHAnsi" w:cstheme="minorHAnsi"/>
          <w:bCs/>
          <w:sz w:val="20"/>
          <w:szCs w:val="20"/>
        </w:rPr>
        <w:t>College</w:t>
      </w:r>
      <w:r w:rsidR="00FC5B73" w:rsidRPr="00CA292C">
        <w:rPr>
          <w:rFonts w:asciiTheme="minorHAnsi" w:hAnsiTheme="minorHAnsi" w:cstheme="minorHAnsi"/>
          <w:bCs/>
          <w:sz w:val="20"/>
          <w:szCs w:val="20"/>
        </w:rPr>
        <w:t>, and 5 free legal consultation for businesses in Oxford.</w:t>
      </w:r>
    </w:p>
    <w:p w14:paraId="694D4E6A"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Donate assistive listening system to specialist deaf schools £2,650 (</w:t>
      </w:r>
      <w:proofErr w:type="spellStart"/>
      <w:r w:rsidRPr="00CA292C">
        <w:rPr>
          <w:rFonts w:asciiTheme="minorHAnsi" w:hAnsiTheme="minorHAnsi" w:cstheme="minorHAnsi"/>
          <w:bCs/>
          <w:sz w:val="20"/>
          <w:szCs w:val="20"/>
        </w:rPr>
        <w:t>excl.VAT</w:t>
      </w:r>
      <w:proofErr w:type="spellEnd"/>
      <w:r w:rsidRPr="00CA292C">
        <w:rPr>
          <w:rFonts w:asciiTheme="minorHAnsi" w:hAnsiTheme="minorHAnsi" w:cstheme="minorHAnsi"/>
          <w:bCs/>
          <w:sz w:val="20"/>
          <w:szCs w:val="20"/>
        </w:rPr>
        <w:t>) of audio-visual and/or IT equipment in 2022.</w:t>
      </w:r>
    </w:p>
    <w:p w14:paraId="55C61BF0"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Invest back 2% of service fee into a Community venture of our choice and offer a ‘living lab’ service enabling students to get involved in the local project to gain insight and exposure to the construction industry</w:t>
      </w:r>
    </w:p>
    <w:p w14:paraId="2C2AA174"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£500 donation per year to oxford's Community Impact Fund 'Big Ideas'</w:t>
      </w:r>
    </w:p>
    <w:p w14:paraId="7A809BC1" w14:textId="77777777" w:rsidR="00FC5B73" w:rsidRPr="00CA292C" w:rsidRDefault="00FC5B73" w:rsidP="00CA292C">
      <w:pPr>
        <w:pStyle w:val="ListParagraph"/>
        <w:numPr>
          <w:ilvl w:val="0"/>
          <w:numId w:val="15"/>
        </w:numPr>
        <w:rPr>
          <w:rFonts w:asciiTheme="minorHAnsi" w:hAnsiTheme="minorHAnsi" w:cstheme="minorHAnsi"/>
          <w:bCs/>
          <w:sz w:val="20"/>
          <w:szCs w:val="20"/>
        </w:rPr>
      </w:pPr>
      <w:r w:rsidRPr="00CA292C">
        <w:rPr>
          <w:rFonts w:asciiTheme="minorHAnsi" w:hAnsiTheme="minorHAnsi" w:cstheme="minorHAnsi"/>
          <w:bCs/>
          <w:sz w:val="20"/>
          <w:szCs w:val="20"/>
        </w:rPr>
        <w:t>Proposal for charitable morning to partake in a pre-agreed event to tackle environment issues</w:t>
      </w:r>
    </w:p>
    <w:p w14:paraId="32E4394B" w14:textId="77777777" w:rsidR="0031261D" w:rsidRPr="0031261D" w:rsidRDefault="0031261D" w:rsidP="00FC5B73">
      <w:r>
        <w:t xml:space="preserve">The charts below </w:t>
      </w:r>
      <w:r w:rsidR="002068AC">
        <w:t>reflect</w:t>
      </w:r>
      <w:r>
        <w:t xml:space="preserve"> the improvements that have been made</w:t>
      </w:r>
      <w:r w:rsidR="002068AC">
        <w:t xml:space="preserve"> in both social value commitments made by </w:t>
      </w:r>
      <w:r w:rsidR="00FC239B">
        <w:t>suppliers</w:t>
      </w:r>
      <w:r w:rsidR="002068AC">
        <w:t xml:space="preserve"> at their bid stage</w:t>
      </w:r>
      <w:r w:rsidR="00FC239B">
        <w:t xml:space="preserve"> and </w:t>
      </w:r>
      <w:r w:rsidR="002068AC">
        <w:t>the tracking by</w:t>
      </w:r>
      <w:r w:rsidR="00FC239B">
        <w:t xml:space="preserve"> both</w:t>
      </w:r>
      <w:r w:rsidR="002068AC">
        <w:t xml:space="preserve"> procurement and the contract manager throughout contract delivery.</w:t>
      </w:r>
    </w:p>
    <w:p w14:paraId="7876C796" w14:textId="77777777" w:rsidR="002875F7" w:rsidRDefault="005D0E68" w:rsidP="002875F7">
      <w:r>
        <w:rPr>
          <w:noProof/>
          <w:lang w:eastAsia="en-GB"/>
        </w:rPr>
        <w:drawing>
          <wp:inline distT="0" distB="0" distL="0" distR="0" wp14:anchorId="43AF13D0" wp14:editId="2E97EB0E">
            <wp:extent cx="2506980" cy="1546860"/>
            <wp:effectExtent l="0" t="0" r="762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15213F6C" wp14:editId="378AC2B7">
            <wp:extent cx="2590800" cy="1554480"/>
            <wp:effectExtent l="0" t="0" r="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D3C16C" w14:textId="09838002" w:rsidR="002875F7" w:rsidRDefault="002875F7" w:rsidP="002875F7"/>
    <w:p w14:paraId="79B036DB" w14:textId="77777777" w:rsidR="002875F7" w:rsidRDefault="002875F7" w:rsidP="002875F7"/>
    <w:p w14:paraId="78355BAD" w14:textId="77777777" w:rsidR="002875F7" w:rsidRPr="002875F7" w:rsidRDefault="00F40F83" w:rsidP="002875F7">
      <w:pPr>
        <w:pStyle w:val="Heading1"/>
        <w:rPr>
          <w:rStyle w:val="IntenseReference"/>
          <w:b w:val="0"/>
          <w:bCs w:val="0"/>
          <w:i w:val="0"/>
          <w:iCs w:val="0"/>
          <w:caps/>
          <w:color w:val="FFFFFF" w:themeColor="background1"/>
        </w:rPr>
      </w:pPr>
      <w:bookmarkStart w:id="5" w:name="_Toc117766915"/>
      <w:r>
        <w:rPr>
          <w:rStyle w:val="IntenseReference"/>
          <w:b w:val="0"/>
          <w:bCs w:val="0"/>
          <w:i w:val="0"/>
          <w:iCs w:val="0"/>
          <w:caps/>
          <w:color w:val="FFFFFF" w:themeColor="background1"/>
        </w:rPr>
        <w:t>2</w:t>
      </w:r>
      <w:r w:rsidR="00EE64C0">
        <w:rPr>
          <w:rStyle w:val="IntenseReference"/>
          <w:b w:val="0"/>
          <w:bCs w:val="0"/>
          <w:i w:val="0"/>
          <w:iCs w:val="0"/>
          <w:caps/>
          <w:color w:val="FFFFFF" w:themeColor="background1"/>
        </w:rPr>
        <w:t xml:space="preserve">. </w:t>
      </w:r>
      <w:r w:rsidR="002875F7" w:rsidRPr="002875F7">
        <w:rPr>
          <w:rStyle w:val="IntenseReference"/>
          <w:b w:val="0"/>
          <w:bCs w:val="0"/>
          <w:i w:val="0"/>
          <w:iCs w:val="0"/>
          <w:caps/>
          <w:color w:val="FFFFFF" w:themeColor="background1"/>
        </w:rPr>
        <w:t>Setting the Scene for Procurement</w:t>
      </w:r>
      <w:bookmarkEnd w:id="5"/>
    </w:p>
    <w:p w14:paraId="320B003F" w14:textId="77777777" w:rsidR="00C3111B" w:rsidRPr="00361A80" w:rsidRDefault="00F40F83" w:rsidP="00361A80">
      <w:pPr>
        <w:pStyle w:val="Heading2"/>
      </w:pPr>
      <w:bookmarkStart w:id="6" w:name="_Toc107413613"/>
      <w:bookmarkStart w:id="7" w:name="_Toc117766916"/>
      <w:r>
        <w:t>2</w:t>
      </w:r>
      <w:r w:rsidR="00C3111B" w:rsidRPr="00361A80">
        <w:t>.1 Overview</w:t>
      </w:r>
      <w:bookmarkEnd w:id="6"/>
      <w:bookmarkEnd w:id="7"/>
    </w:p>
    <w:p w14:paraId="6B15493A" w14:textId="77777777" w:rsidR="00AF6EE7" w:rsidRDefault="00AF6EE7" w:rsidP="00C3111B">
      <w:pPr>
        <w:rPr>
          <w:bCs/>
        </w:rPr>
      </w:pPr>
      <w:r>
        <w:rPr>
          <w:bCs/>
        </w:rPr>
        <w:t>Procurement is the process through which an organisation establishes contracts for goods, works, services and utilities.</w:t>
      </w:r>
    </w:p>
    <w:p w14:paraId="2AA715D5" w14:textId="77777777" w:rsidR="00C3111B" w:rsidRDefault="00AF6EE7" w:rsidP="00C3111B">
      <w:pPr>
        <w:rPr>
          <w:bCs/>
        </w:rPr>
      </w:pPr>
      <w:r>
        <w:rPr>
          <w:bCs/>
        </w:rPr>
        <w:t>P</w:t>
      </w:r>
      <w:r w:rsidR="00C3111B" w:rsidRPr="008E24DE">
        <w:rPr>
          <w:bCs/>
        </w:rPr>
        <w:t xml:space="preserve">rocurement </w:t>
      </w:r>
      <w:r>
        <w:rPr>
          <w:bCs/>
        </w:rPr>
        <w:t xml:space="preserve">at the </w:t>
      </w:r>
      <w:r w:rsidR="00FF009D">
        <w:rPr>
          <w:bCs/>
        </w:rPr>
        <w:t>C</w:t>
      </w:r>
      <w:r>
        <w:rPr>
          <w:bCs/>
        </w:rPr>
        <w:t xml:space="preserve">ouncil </w:t>
      </w:r>
      <w:r w:rsidR="00EA4C25">
        <w:rPr>
          <w:bCs/>
        </w:rPr>
        <w:t>has oversight of</w:t>
      </w:r>
      <w:r w:rsidR="00EA4C25" w:rsidRPr="008E24DE">
        <w:rPr>
          <w:bCs/>
        </w:rPr>
        <w:t xml:space="preserve"> </w:t>
      </w:r>
      <w:r w:rsidR="00C3111B" w:rsidRPr="008E24DE">
        <w:rPr>
          <w:bCs/>
        </w:rPr>
        <w:t>only a small part of the Council</w:t>
      </w:r>
      <w:r w:rsidR="00FF009D">
        <w:rPr>
          <w:bCs/>
        </w:rPr>
        <w:t>’</w:t>
      </w:r>
      <w:r w:rsidR="00C3111B" w:rsidRPr="008E24DE">
        <w:rPr>
          <w:bCs/>
        </w:rPr>
        <w:t xml:space="preserve">s total budget and cannot manage all day to day dealings between the Council and suppliers.  Therefore the whole </w:t>
      </w:r>
      <w:r w:rsidR="00FF009D">
        <w:rPr>
          <w:bCs/>
        </w:rPr>
        <w:t>C</w:t>
      </w:r>
      <w:r w:rsidR="00C3111B" w:rsidRPr="008E24DE">
        <w:rPr>
          <w:bCs/>
        </w:rPr>
        <w:t>ouncil needs to have an awareness of procurement best practice and their role in deploying them.</w:t>
      </w:r>
    </w:p>
    <w:p w14:paraId="66FD453F" w14:textId="77777777" w:rsidR="00AF6EE7" w:rsidRDefault="00AF6EE7" w:rsidP="00C3111B">
      <w:pPr>
        <w:rPr>
          <w:bCs/>
        </w:rPr>
      </w:pPr>
      <w:r>
        <w:rPr>
          <w:bCs/>
        </w:rPr>
        <w:t>Public procurement is governed by a legal and regulatory framework which is aimed at promoting economic competition.  Failure to adhere to public procurement law can expose the Council to costly legal challenges.  In that context this strategy is intended to support compliance with the Council</w:t>
      </w:r>
      <w:r w:rsidR="00FF009D">
        <w:rPr>
          <w:bCs/>
        </w:rPr>
        <w:t>’</w:t>
      </w:r>
      <w:r>
        <w:rPr>
          <w:bCs/>
        </w:rPr>
        <w:t>s Contract procedure Rules (the Constitution), the UK Public Contracts Regulations 2015</w:t>
      </w:r>
      <w:r w:rsidR="00124780">
        <w:rPr>
          <w:bCs/>
        </w:rPr>
        <w:t xml:space="preserve"> (and updated versions when implemented)</w:t>
      </w:r>
      <w:r>
        <w:rPr>
          <w:bCs/>
        </w:rPr>
        <w:t xml:space="preserve">, and the fundamental </w:t>
      </w:r>
      <w:r w:rsidR="00124780">
        <w:rPr>
          <w:bCs/>
        </w:rPr>
        <w:t>procurement</w:t>
      </w:r>
      <w:r>
        <w:rPr>
          <w:bCs/>
        </w:rPr>
        <w:t xml:space="preserve"> principles of transparency, equal treatment, non-discrimination and mutual </w:t>
      </w:r>
      <w:r w:rsidR="00124780">
        <w:rPr>
          <w:bCs/>
        </w:rPr>
        <w:t>recognition</w:t>
      </w:r>
      <w:r>
        <w:rPr>
          <w:bCs/>
        </w:rPr>
        <w:t>.</w:t>
      </w:r>
    </w:p>
    <w:p w14:paraId="1D567CEC" w14:textId="77777777" w:rsidR="00AF6EE7" w:rsidRPr="008E24DE" w:rsidRDefault="00AF6EE7" w:rsidP="00AF6EE7">
      <w:pPr>
        <w:rPr>
          <w:bCs/>
        </w:rPr>
      </w:pPr>
      <w:r>
        <w:rPr>
          <w:bCs/>
        </w:rPr>
        <w:t>Procurement starts with an identified need, and seeks to put in place a contract, or contracts which effectively meet that need.  This involves proactive</w:t>
      </w:r>
      <w:r w:rsidRPr="008E24DE">
        <w:rPr>
          <w:bCs/>
        </w:rPr>
        <w:t xml:space="preserve"> engagement with stakeholders reviewing the procurement pipeline, spending plans and procurement options</w:t>
      </w:r>
      <w:r>
        <w:rPr>
          <w:bCs/>
        </w:rPr>
        <w:t xml:space="preserve">, the formal award of contracts and the management and monitoring </w:t>
      </w:r>
      <w:r w:rsidR="00FF009D">
        <w:rPr>
          <w:bCs/>
        </w:rPr>
        <w:t xml:space="preserve">of </w:t>
      </w:r>
      <w:r>
        <w:rPr>
          <w:bCs/>
        </w:rPr>
        <w:t>contracts</w:t>
      </w:r>
      <w:r w:rsidR="00FF009D">
        <w:rPr>
          <w:bCs/>
        </w:rPr>
        <w:t xml:space="preserve"> that are already</w:t>
      </w:r>
      <w:r>
        <w:rPr>
          <w:bCs/>
        </w:rPr>
        <w:t xml:space="preserve"> in place</w:t>
      </w:r>
      <w:r w:rsidRPr="008E24DE">
        <w:rPr>
          <w:bCs/>
        </w:rPr>
        <w:t>.</w:t>
      </w:r>
    </w:p>
    <w:p w14:paraId="1A0326F4" w14:textId="77777777" w:rsidR="00C3111B" w:rsidRDefault="00C3111B" w:rsidP="004A7AA4">
      <w:pPr>
        <w:rPr>
          <w:bCs/>
        </w:rPr>
      </w:pPr>
      <w:r w:rsidRPr="008E24DE">
        <w:rPr>
          <w:bCs/>
        </w:rPr>
        <w:t xml:space="preserve">Procurement </w:t>
      </w:r>
      <w:r w:rsidR="00041740" w:rsidRPr="008E24DE">
        <w:rPr>
          <w:bCs/>
        </w:rPr>
        <w:t xml:space="preserve">will </w:t>
      </w:r>
      <w:r w:rsidR="00041740">
        <w:rPr>
          <w:bCs/>
        </w:rPr>
        <w:t>continue</w:t>
      </w:r>
      <w:r w:rsidR="006579EF">
        <w:rPr>
          <w:bCs/>
        </w:rPr>
        <w:t xml:space="preserve"> to </w:t>
      </w:r>
      <w:r w:rsidRPr="008E24DE">
        <w:rPr>
          <w:bCs/>
        </w:rPr>
        <w:t>support this by</w:t>
      </w:r>
      <w:r w:rsidR="006579EF">
        <w:rPr>
          <w:bCs/>
        </w:rPr>
        <w:t xml:space="preserve"> providing full visibility to external stakeholders and suppliers by</w:t>
      </w:r>
      <w:r w:rsidR="004A7AA4">
        <w:rPr>
          <w:bCs/>
        </w:rPr>
        <w:t>:</w:t>
      </w:r>
    </w:p>
    <w:p w14:paraId="05FA217B" w14:textId="77777777" w:rsidR="00C3111B" w:rsidRPr="00C3111B" w:rsidRDefault="006579EF" w:rsidP="00C3111B">
      <w:pPr>
        <w:pStyle w:val="ListParagraph"/>
        <w:numPr>
          <w:ilvl w:val="0"/>
          <w:numId w:val="15"/>
        </w:numPr>
        <w:rPr>
          <w:rFonts w:asciiTheme="minorHAnsi" w:hAnsiTheme="minorHAnsi" w:cstheme="minorHAnsi"/>
          <w:bCs/>
          <w:sz w:val="20"/>
          <w:szCs w:val="20"/>
        </w:rPr>
      </w:pPr>
      <w:r>
        <w:rPr>
          <w:rFonts w:asciiTheme="minorHAnsi" w:hAnsiTheme="minorHAnsi" w:cstheme="minorHAnsi"/>
          <w:bCs/>
          <w:sz w:val="20"/>
          <w:szCs w:val="20"/>
        </w:rPr>
        <w:t>The m</w:t>
      </w:r>
      <w:r w:rsidR="00DB3820">
        <w:rPr>
          <w:rFonts w:asciiTheme="minorHAnsi" w:hAnsiTheme="minorHAnsi" w:cstheme="minorHAnsi"/>
          <w:bCs/>
          <w:sz w:val="20"/>
          <w:szCs w:val="20"/>
        </w:rPr>
        <w:t>onitor</w:t>
      </w:r>
      <w:r>
        <w:rPr>
          <w:rFonts w:asciiTheme="minorHAnsi" w:hAnsiTheme="minorHAnsi" w:cstheme="minorHAnsi"/>
          <w:bCs/>
          <w:sz w:val="20"/>
          <w:szCs w:val="20"/>
        </w:rPr>
        <w:t xml:space="preserve">ing of </w:t>
      </w:r>
      <w:r w:rsidR="00DB3820">
        <w:rPr>
          <w:rFonts w:asciiTheme="minorHAnsi" w:hAnsiTheme="minorHAnsi" w:cstheme="minorHAnsi"/>
          <w:bCs/>
          <w:sz w:val="20"/>
          <w:szCs w:val="20"/>
        </w:rPr>
        <w:t>SME and Local spend;</w:t>
      </w:r>
    </w:p>
    <w:p w14:paraId="67E3200E" w14:textId="77777777" w:rsidR="00C3111B" w:rsidRPr="00C3111B" w:rsidRDefault="00C3111B" w:rsidP="00C3111B">
      <w:pPr>
        <w:pStyle w:val="ListParagraph"/>
        <w:numPr>
          <w:ilvl w:val="0"/>
          <w:numId w:val="15"/>
        </w:numPr>
        <w:rPr>
          <w:rFonts w:asciiTheme="minorHAnsi" w:hAnsiTheme="minorHAnsi" w:cstheme="minorHAnsi"/>
          <w:bCs/>
          <w:sz w:val="20"/>
          <w:szCs w:val="20"/>
        </w:rPr>
      </w:pPr>
      <w:r w:rsidRPr="00C3111B">
        <w:rPr>
          <w:rFonts w:asciiTheme="minorHAnsi" w:hAnsiTheme="minorHAnsi" w:cstheme="minorHAnsi"/>
          <w:bCs/>
          <w:sz w:val="20"/>
          <w:szCs w:val="20"/>
        </w:rPr>
        <w:t>Respond</w:t>
      </w:r>
      <w:r w:rsidR="006579EF">
        <w:rPr>
          <w:rFonts w:asciiTheme="minorHAnsi" w:hAnsiTheme="minorHAnsi" w:cstheme="minorHAnsi"/>
          <w:bCs/>
          <w:sz w:val="20"/>
          <w:szCs w:val="20"/>
        </w:rPr>
        <w:t>ing</w:t>
      </w:r>
      <w:r w:rsidRPr="00C3111B">
        <w:rPr>
          <w:rFonts w:asciiTheme="minorHAnsi" w:hAnsiTheme="minorHAnsi" w:cstheme="minorHAnsi"/>
          <w:bCs/>
          <w:sz w:val="20"/>
          <w:szCs w:val="20"/>
        </w:rPr>
        <w:t xml:space="preserve"> to requests for new supplier set up</w:t>
      </w:r>
      <w:r w:rsidR="006579EF">
        <w:rPr>
          <w:rFonts w:asciiTheme="minorHAnsi" w:hAnsiTheme="minorHAnsi" w:cstheme="minorHAnsi"/>
          <w:bCs/>
          <w:sz w:val="20"/>
          <w:szCs w:val="20"/>
        </w:rPr>
        <w:t xml:space="preserve"> (when a supplier has been awarded a contract)</w:t>
      </w:r>
      <w:r w:rsidRPr="00C3111B">
        <w:rPr>
          <w:rFonts w:asciiTheme="minorHAnsi" w:hAnsiTheme="minorHAnsi" w:cstheme="minorHAnsi"/>
          <w:bCs/>
          <w:sz w:val="20"/>
          <w:szCs w:val="20"/>
        </w:rPr>
        <w:t xml:space="preserve"> within 5 days (in conjunction with the payment team</w:t>
      </w:r>
      <w:r>
        <w:rPr>
          <w:rFonts w:asciiTheme="minorHAnsi" w:hAnsiTheme="minorHAnsi" w:cstheme="minorHAnsi"/>
          <w:bCs/>
          <w:sz w:val="20"/>
          <w:szCs w:val="20"/>
        </w:rPr>
        <w:t>)</w:t>
      </w:r>
      <w:r w:rsidR="00DB3820">
        <w:rPr>
          <w:rFonts w:asciiTheme="minorHAnsi" w:hAnsiTheme="minorHAnsi" w:cstheme="minorHAnsi"/>
          <w:bCs/>
          <w:sz w:val="20"/>
          <w:szCs w:val="20"/>
        </w:rPr>
        <w:t>;</w:t>
      </w:r>
    </w:p>
    <w:p w14:paraId="0F51B805" w14:textId="77777777" w:rsidR="00C3111B" w:rsidRDefault="006579EF" w:rsidP="00C3111B">
      <w:pPr>
        <w:pStyle w:val="ListParagraph"/>
        <w:numPr>
          <w:ilvl w:val="0"/>
          <w:numId w:val="15"/>
        </w:numPr>
        <w:rPr>
          <w:rFonts w:asciiTheme="minorHAnsi" w:hAnsiTheme="minorHAnsi" w:cstheme="minorHAnsi"/>
          <w:bCs/>
          <w:sz w:val="20"/>
          <w:szCs w:val="20"/>
        </w:rPr>
      </w:pPr>
      <w:r>
        <w:rPr>
          <w:rFonts w:asciiTheme="minorHAnsi" w:hAnsiTheme="minorHAnsi" w:cstheme="minorHAnsi"/>
          <w:bCs/>
          <w:sz w:val="20"/>
          <w:szCs w:val="20"/>
        </w:rPr>
        <w:t>The publishing of</w:t>
      </w:r>
      <w:r w:rsidR="00C3111B" w:rsidRPr="00C3111B">
        <w:rPr>
          <w:rFonts w:asciiTheme="minorHAnsi" w:hAnsiTheme="minorHAnsi" w:cstheme="minorHAnsi"/>
          <w:bCs/>
          <w:sz w:val="20"/>
          <w:szCs w:val="20"/>
        </w:rPr>
        <w:t xml:space="preserve"> transparency reports quarterly</w:t>
      </w:r>
      <w:r w:rsidR="00C3111B">
        <w:rPr>
          <w:rFonts w:asciiTheme="minorHAnsi" w:hAnsiTheme="minorHAnsi" w:cstheme="minorHAnsi"/>
          <w:bCs/>
          <w:sz w:val="20"/>
          <w:szCs w:val="20"/>
        </w:rPr>
        <w:t xml:space="preserve"> on the </w:t>
      </w:r>
      <w:r w:rsidR="00FF009D">
        <w:rPr>
          <w:rFonts w:asciiTheme="minorHAnsi" w:hAnsiTheme="minorHAnsi" w:cstheme="minorHAnsi"/>
          <w:bCs/>
          <w:sz w:val="20"/>
          <w:szCs w:val="20"/>
        </w:rPr>
        <w:t>C</w:t>
      </w:r>
      <w:r w:rsidR="00C3111B">
        <w:rPr>
          <w:rFonts w:asciiTheme="minorHAnsi" w:hAnsiTheme="minorHAnsi" w:cstheme="minorHAnsi"/>
          <w:bCs/>
          <w:sz w:val="20"/>
          <w:szCs w:val="20"/>
        </w:rPr>
        <w:t>ouncil website</w:t>
      </w:r>
      <w:r w:rsidR="00DB3820">
        <w:rPr>
          <w:rFonts w:asciiTheme="minorHAnsi" w:hAnsiTheme="minorHAnsi" w:cstheme="minorHAnsi"/>
          <w:bCs/>
          <w:sz w:val="20"/>
          <w:szCs w:val="20"/>
        </w:rPr>
        <w:t>;</w:t>
      </w:r>
    </w:p>
    <w:p w14:paraId="4D0D3FC1" w14:textId="77777777" w:rsidR="006579EF" w:rsidRPr="00C3111B" w:rsidRDefault="006579EF" w:rsidP="00C3111B">
      <w:pPr>
        <w:pStyle w:val="ListParagraph"/>
        <w:numPr>
          <w:ilvl w:val="0"/>
          <w:numId w:val="15"/>
        </w:numPr>
        <w:rPr>
          <w:rFonts w:asciiTheme="minorHAnsi" w:hAnsiTheme="minorHAnsi" w:cstheme="minorHAnsi"/>
          <w:bCs/>
          <w:sz w:val="20"/>
          <w:szCs w:val="20"/>
        </w:rPr>
      </w:pPr>
      <w:r>
        <w:rPr>
          <w:rFonts w:asciiTheme="minorHAnsi" w:hAnsiTheme="minorHAnsi" w:cstheme="minorHAnsi"/>
          <w:bCs/>
          <w:sz w:val="20"/>
          <w:szCs w:val="20"/>
        </w:rPr>
        <w:t>The publishing of the Council contracts on the Council website containing contract expiration dates;</w:t>
      </w:r>
    </w:p>
    <w:p w14:paraId="1053A1D6" w14:textId="77777777" w:rsidR="00C3111B" w:rsidRPr="00682D7A" w:rsidRDefault="006579EF" w:rsidP="00FC239B">
      <w:pPr>
        <w:pStyle w:val="ListParagraph"/>
        <w:numPr>
          <w:ilvl w:val="0"/>
          <w:numId w:val="15"/>
        </w:numPr>
        <w:rPr>
          <w:rFonts w:ascii="Calibri" w:hAnsi="Calibri" w:cs="Calibri"/>
          <w:bCs/>
          <w:sz w:val="20"/>
          <w:szCs w:val="20"/>
        </w:rPr>
      </w:pPr>
      <w:r>
        <w:rPr>
          <w:rFonts w:asciiTheme="minorHAnsi" w:hAnsiTheme="minorHAnsi" w:cstheme="minorHAnsi"/>
          <w:bCs/>
          <w:sz w:val="20"/>
          <w:szCs w:val="20"/>
        </w:rPr>
        <w:t>The running of open, fair and transparent</w:t>
      </w:r>
      <w:r w:rsidR="00C3111B" w:rsidRPr="00C3111B">
        <w:rPr>
          <w:rFonts w:asciiTheme="minorHAnsi" w:hAnsiTheme="minorHAnsi" w:cstheme="minorHAnsi"/>
          <w:bCs/>
          <w:sz w:val="20"/>
          <w:szCs w:val="20"/>
        </w:rPr>
        <w:t xml:space="preserve"> tender processes within Regulation guidelines</w:t>
      </w:r>
      <w:r w:rsidR="00FC239B">
        <w:rPr>
          <w:rFonts w:ascii="Calibri" w:hAnsi="Calibri" w:cs="Calibri"/>
          <w:sz w:val="20"/>
          <w:szCs w:val="20"/>
        </w:rPr>
        <w:t>;</w:t>
      </w:r>
    </w:p>
    <w:p w14:paraId="73745698" w14:textId="77777777" w:rsidR="00C3111B" w:rsidRDefault="006579EF" w:rsidP="00C3111B">
      <w:pPr>
        <w:pStyle w:val="ListParagraph"/>
        <w:numPr>
          <w:ilvl w:val="0"/>
          <w:numId w:val="15"/>
        </w:numPr>
        <w:rPr>
          <w:rFonts w:asciiTheme="minorHAnsi" w:hAnsiTheme="minorHAnsi" w:cstheme="minorHAnsi"/>
          <w:bCs/>
          <w:sz w:val="20"/>
          <w:szCs w:val="20"/>
        </w:rPr>
      </w:pPr>
      <w:r>
        <w:rPr>
          <w:rFonts w:asciiTheme="minorHAnsi" w:hAnsiTheme="minorHAnsi" w:cstheme="minorHAnsi"/>
          <w:bCs/>
          <w:sz w:val="20"/>
          <w:szCs w:val="20"/>
        </w:rPr>
        <w:t>Supporting Suppliers by holding “How to Tender” workshops</w:t>
      </w:r>
    </w:p>
    <w:p w14:paraId="512B0CD7" w14:textId="77777777" w:rsidR="006579EF" w:rsidRPr="00C3111B" w:rsidRDefault="006579EF" w:rsidP="00C3111B">
      <w:pPr>
        <w:pStyle w:val="ListParagraph"/>
        <w:numPr>
          <w:ilvl w:val="0"/>
          <w:numId w:val="15"/>
        </w:numPr>
        <w:rPr>
          <w:rFonts w:asciiTheme="minorHAnsi" w:hAnsiTheme="minorHAnsi" w:cstheme="minorHAnsi"/>
          <w:bCs/>
          <w:sz w:val="20"/>
          <w:szCs w:val="20"/>
        </w:rPr>
      </w:pPr>
      <w:r>
        <w:rPr>
          <w:rFonts w:asciiTheme="minorHAnsi" w:hAnsiTheme="minorHAnsi" w:cstheme="minorHAnsi"/>
          <w:bCs/>
          <w:sz w:val="20"/>
          <w:szCs w:val="20"/>
        </w:rPr>
        <w:t>Supporting Suppliers by holding “Meet the Buyer” events</w:t>
      </w:r>
    </w:p>
    <w:p w14:paraId="7B986540" w14:textId="77777777" w:rsidR="00361A80" w:rsidRDefault="00361A80">
      <w:pPr>
        <w:rPr>
          <w:bCs/>
        </w:rPr>
      </w:pPr>
    </w:p>
    <w:p w14:paraId="20713D97" w14:textId="77777777" w:rsidR="002875F7" w:rsidRPr="002875F7" w:rsidRDefault="00F40F83" w:rsidP="002875F7">
      <w:pPr>
        <w:pStyle w:val="Heading1"/>
        <w:rPr>
          <w:rStyle w:val="IntenseReference"/>
          <w:b w:val="0"/>
          <w:bCs w:val="0"/>
          <w:i w:val="0"/>
          <w:iCs w:val="0"/>
          <w:caps/>
          <w:color w:val="FFFFFF" w:themeColor="background1"/>
        </w:rPr>
      </w:pPr>
      <w:bookmarkStart w:id="8" w:name="_Toc117766917"/>
      <w:r>
        <w:rPr>
          <w:rStyle w:val="IntenseReference"/>
          <w:b w:val="0"/>
          <w:bCs w:val="0"/>
          <w:i w:val="0"/>
          <w:iCs w:val="0"/>
          <w:caps/>
          <w:color w:val="FFFFFF" w:themeColor="background1"/>
        </w:rPr>
        <w:t>3</w:t>
      </w:r>
      <w:r w:rsidR="00EE64C0">
        <w:rPr>
          <w:rStyle w:val="IntenseReference"/>
          <w:b w:val="0"/>
          <w:bCs w:val="0"/>
          <w:i w:val="0"/>
          <w:iCs w:val="0"/>
          <w:caps/>
          <w:color w:val="FFFFFF" w:themeColor="background1"/>
        </w:rPr>
        <w:t xml:space="preserve">. </w:t>
      </w:r>
      <w:r w:rsidR="002875F7" w:rsidRPr="002875F7">
        <w:rPr>
          <w:rStyle w:val="IntenseReference"/>
          <w:b w:val="0"/>
          <w:bCs w:val="0"/>
          <w:i w:val="0"/>
          <w:iCs w:val="0"/>
          <w:caps/>
          <w:color w:val="FFFFFF" w:themeColor="background1"/>
        </w:rPr>
        <w:t>Setting the Direction for Procurement</w:t>
      </w:r>
      <w:bookmarkEnd w:id="8"/>
    </w:p>
    <w:p w14:paraId="33548EB7" w14:textId="77777777" w:rsidR="002875F7" w:rsidRDefault="002875F7" w:rsidP="002875F7"/>
    <w:p w14:paraId="4DF3D98C" w14:textId="77777777" w:rsidR="002875F7" w:rsidRDefault="00F40F83" w:rsidP="007C5C7A">
      <w:pPr>
        <w:pStyle w:val="Heading2"/>
      </w:pPr>
      <w:bookmarkStart w:id="9" w:name="_Toc117766918"/>
      <w:r>
        <w:t>3</w:t>
      </w:r>
      <w:r w:rsidR="00DB3820">
        <w:t xml:space="preserve">.1 </w:t>
      </w:r>
      <w:r w:rsidR="002875F7">
        <w:t>Our Purpose</w:t>
      </w:r>
      <w:bookmarkEnd w:id="9"/>
    </w:p>
    <w:p w14:paraId="1EEDAC40" w14:textId="77777777" w:rsidR="002875F7" w:rsidRDefault="00951A6D" w:rsidP="002875F7">
      <w:r>
        <w:t>Procurement is a</w:t>
      </w:r>
      <w:r w:rsidR="004A2B96">
        <w:t xml:space="preserve">n </w:t>
      </w:r>
      <w:r w:rsidR="00EA4C25">
        <w:t>essential business</w:t>
      </w:r>
      <w:r>
        <w:t xml:space="preserve"> function encompassing a range of activities enabling the </w:t>
      </w:r>
      <w:r w:rsidR="00FE6D34">
        <w:t>C</w:t>
      </w:r>
      <w:r>
        <w:t xml:space="preserve">ouncil to obtain goods, </w:t>
      </w:r>
      <w:r w:rsidR="00D74E3F">
        <w:t>works,</w:t>
      </w:r>
      <w:r>
        <w:t xml:space="preserve"> services</w:t>
      </w:r>
      <w:r w:rsidR="00D74E3F">
        <w:t xml:space="preserve"> or </w:t>
      </w:r>
      <w:r w:rsidR="004A2B96">
        <w:t>u</w:t>
      </w:r>
      <w:r w:rsidR="00D74E3F">
        <w:t>tilities delivering</w:t>
      </w:r>
      <w:r>
        <w:t xml:space="preserve"> value for money compliantly.  This is achieved through leadership of procurement for the Council, ownership and accountability for the sourcing pro</w:t>
      </w:r>
      <w:r w:rsidR="00B25FEB">
        <w:t xml:space="preserve">cess, communication of purpose, </w:t>
      </w:r>
      <w:r>
        <w:t>process and outcomes and working in collaboration with Council entities</w:t>
      </w:r>
      <w:r w:rsidR="00B25FEB">
        <w:t xml:space="preserve">, </w:t>
      </w:r>
      <w:r>
        <w:t>external authorities and or buying organisations.</w:t>
      </w:r>
    </w:p>
    <w:p w14:paraId="1EF5C54E" w14:textId="77777777" w:rsidR="008D21F1" w:rsidRDefault="008D21F1" w:rsidP="002875F7">
      <w:r>
        <w:t>The Corporate Procurement Team consist of 5 professionals with MCIPS qualification or working towards MCIPS plus one apprentice and one fixed term contract, all with a vast amount of experience and knowledge.</w:t>
      </w:r>
    </w:p>
    <w:p w14:paraId="559F01B3" w14:textId="77777777" w:rsidR="008D21F1" w:rsidRDefault="008D21F1" w:rsidP="002875F7">
      <w:r>
        <w:t xml:space="preserve">The team does </w:t>
      </w:r>
      <w:r w:rsidR="002A70E5">
        <w:t xml:space="preserve">not currently </w:t>
      </w:r>
      <w:r>
        <w:t>operate a category management approach</w:t>
      </w:r>
      <w:r w:rsidR="002A70E5">
        <w:t xml:space="preserve"> to procurement which is the segmentation of spend into areas which contain similar or related products.   M</w:t>
      </w:r>
      <w:r>
        <w:t xml:space="preserve">embers of the </w:t>
      </w:r>
      <w:r w:rsidR="002A70E5">
        <w:t xml:space="preserve">team however </w:t>
      </w:r>
      <w:r>
        <w:t xml:space="preserve">are naturally gravitating towards certain specialist areas.  The contract register </w:t>
      </w:r>
      <w:r w:rsidR="004A2B96">
        <w:t xml:space="preserve">which records </w:t>
      </w:r>
      <w:r w:rsidR="002A70E5">
        <w:t xml:space="preserve">Government Commercial standard categorisation </w:t>
      </w:r>
      <w:r>
        <w:t xml:space="preserve">is split into 14 categories, with the main spend from the top 25 contracts </w:t>
      </w:r>
      <w:r w:rsidR="00D74E3F">
        <w:t>aligned to Construction, Commercial and Corporate Services and Housing Services.</w:t>
      </w:r>
    </w:p>
    <w:p w14:paraId="50110AFD" w14:textId="77777777" w:rsidR="00D74E3F" w:rsidRDefault="00D74E3F" w:rsidP="002875F7">
      <w:r>
        <w:t>Although our primary purpose is to ensure that the Council has the appropriate contractual provision to allow the delivery of its core functions there are a number of activities which the procurement team lead on and are intrinsic to the success of our Strategy:</w:t>
      </w:r>
    </w:p>
    <w:p w14:paraId="38DF7962"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Management of the procurement Register and Pipeline</w:t>
      </w:r>
    </w:p>
    <w:p w14:paraId="70406689"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Contract Procedure Rules</w:t>
      </w:r>
    </w:p>
    <w:p w14:paraId="71AA8FFA"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Standardised Documentation</w:t>
      </w:r>
      <w:r w:rsidR="00682D7A">
        <w:rPr>
          <w:rFonts w:asciiTheme="minorHAnsi" w:hAnsiTheme="minorHAnsi" w:cstheme="minorHAnsi"/>
          <w:sz w:val="20"/>
          <w:szCs w:val="20"/>
        </w:rPr>
        <w:t xml:space="preserve"> </w:t>
      </w:r>
    </w:p>
    <w:p w14:paraId="37624D8D"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Supplier Engagement</w:t>
      </w:r>
    </w:p>
    <w:p w14:paraId="5145EB12"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Procurement Training</w:t>
      </w:r>
    </w:p>
    <w:p w14:paraId="0257EB02"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Procurement Processes, Systems and Integration</w:t>
      </w:r>
    </w:p>
    <w:p w14:paraId="01DF5A90" w14:textId="77777777" w:rsidR="00D74E3F" w:rsidRP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Commercialisation and Income Generation</w:t>
      </w:r>
    </w:p>
    <w:p w14:paraId="70A1E795" w14:textId="77777777" w:rsidR="00D74E3F" w:rsidRDefault="00D74E3F" w:rsidP="00D74E3F">
      <w:pPr>
        <w:pStyle w:val="ListParagraph"/>
        <w:numPr>
          <w:ilvl w:val="0"/>
          <w:numId w:val="3"/>
        </w:numPr>
        <w:rPr>
          <w:rFonts w:asciiTheme="minorHAnsi" w:hAnsiTheme="minorHAnsi" w:cstheme="minorHAnsi"/>
          <w:sz w:val="20"/>
          <w:szCs w:val="20"/>
        </w:rPr>
      </w:pPr>
      <w:r w:rsidRPr="00D74E3F">
        <w:rPr>
          <w:rFonts w:asciiTheme="minorHAnsi" w:hAnsiTheme="minorHAnsi" w:cstheme="minorHAnsi"/>
          <w:sz w:val="20"/>
          <w:szCs w:val="20"/>
        </w:rPr>
        <w:t>Social Value</w:t>
      </w:r>
    </w:p>
    <w:p w14:paraId="0E3E227C" w14:textId="77777777" w:rsidR="00D74E3F" w:rsidRPr="004E20D4" w:rsidRDefault="00D74E3F" w:rsidP="00D74E3F">
      <w:r>
        <w:rPr>
          <w:rFonts w:cstheme="minorHAnsi"/>
        </w:rPr>
        <w:t>The level of data we record, and monitor is used to evidence that our actions and impacts are supportive of o</w:t>
      </w:r>
      <w:r w:rsidRPr="004E20D4">
        <w:t>ur Local and National Drivers</w:t>
      </w:r>
      <w:r w:rsidR="00FA3FED" w:rsidRPr="004E20D4">
        <w:t>.</w:t>
      </w:r>
    </w:p>
    <w:p w14:paraId="00BD957D" w14:textId="77777777" w:rsidR="004E20D4" w:rsidRDefault="004E20D4" w:rsidP="004E20D4">
      <w:r>
        <w:t xml:space="preserve">The Council is mindful that the impact of procurement is far greater than processes objectives and principles and that effective procurement can incorporate a wide ranging socio-economic agenda. </w:t>
      </w:r>
      <w:r w:rsidR="00224FDE">
        <w:t xml:space="preserve">The </w:t>
      </w:r>
      <w:r w:rsidR="00041740">
        <w:t>C</w:t>
      </w:r>
      <w:r w:rsidR="00224FDE">
        <w:t xml:space="preserve">ouncil is </w:t>
      </w:r>
      <w:r w:rsidR="00901BB3">
        <w:t xml:space="preserve">committed to </w:t>
      </w:r>
      <w:r w:rsidR="00BF6E25">
        <w:t xml:space="preserve">applying </w:t>
      </w:r>
      <w:r w:rsidR="00901BB3">
        <w:t xml:space="preserve">the approaches and lessons of </w:t>
      </w:r>
      <w:r w:rsidR="006B094A">
        <w:t xml:space="preserve">the </w:t>
      </w:r>
      <w:r w:rsidR="00224FDE">
        <w:t>Community Wealth Building</w:t>
      </w:r>
      <w:r w:rsidR="006B094A">
        <w:t xml:space="preserve"> movement</w:t>
      </w:r>
      <w:r w:rsidR="00E20913">
        <w:t xml:space="preserve"> –</w:t>
      </w:r>
      <w:r w:rsidR="00901BB3">
        <w:t xml:space="preserve"> where local institutions use their assets, spending power and influence to </w:t>
      </w:r>
      <w:r w:rsidR="00BF6E25">
        <w:t>build a truly inclusive</w:t>
      </w:r>
      <w:r w:rsidR="00901BB3">
        <w:t xml:space="preserve"> and generative</w:t>
      </w:r>
      <w:r w:rsidR="00BF6E25">
        <w:t xml:space="preserve"> local economy. </w:t>
      </w:r>
      <w:r>
        <w:t>That means at the heart of this strategy sits the aim to deliver an inclusive economy, whereby the Council uses its purchasing power to retain wealth that benefits the local economy, influences sectors to provide an Oxford Living Wage and unleashes the potential of the voluntary and third sector. In taking this approach, the Council will not only deliver a successful local economy for everyone, the leverage of  our power can help address a wide range of ethnic and social disparities, push employers to become inclusive, significantly contribute to our ambition to be zero carbon and  deliver value for money for Oxford’s</w:t>
      </w:r>
      <w:r w:rsidRPr="004E20D4">
        <w:t xml:space="preserve"> </w:t>
      </w:r>
      <w:r>
        <w:t>citizens.</w:t>
      </w:r>
    </w:p>
    <w:p w14:paraId="041C96DC" w14:textId="77777777" w:rsidR="002875F7" w:rsidRDefault="00F40F83" w:rsidP="007C5C7A">
      <w:pPr>
        <w:pStyle w:val="Heading2"/>
      </w:pPr>
      <w:bookmarkStart w:id="10" w:name="_Toc117766919"/>
      <w:r>
        <w:t>3</w:t>
      </w:r>
      <w:r w:rsidR="00F54A9F">
        <w:t xml:space="preserve">.2 </w:t>
      </w:r>
      <w:r w:rsidR="002875F7">
        <w:t>Ambition</w:t>
      </w:r>
      <w:bookmarkEnd w:id="10"/>
    </w:p>
    <w:p w14:paraId="57D41D1C" w14:textId="77777777" w:rsidR="002875F7" w:rsidRDefault="00951A6D" w:rsidP="002875F7">
      <w:r>
        <w:t xml:space="preserve">To be a highly effective </w:t>
      </w:r>
      <w:r w:rsidR="00F37CDB">
        <w:t xml:space="preserve">customer focused </w:t>
      </w:r>
      <w:r>
        <w:t>team with processes and systems in place to ensure the timely award of fit for purpose contracts minimising the risk to the Counc</w:t>
      </w:r>
      <w:r w:rsidR="00F37CDB">
        <w:t>il of challenge, reducing costs and increasing quality</w:t>
      </w:r>
      <w:r w:rsidR="000C7EF0">
        <w:t xml:space="preserve"> whilst supporting localisation and the delivery of social value specifically to Oxford</w:t>
      </w:r>
      <w:r w:rsidR="00F37CDB">
        <w:t xml:space="preserve">.  </w:t>
      </w:r>
      <w:r w:rsidR="00C17FA6">
        <w:t>To a</w:t>
      </w:r>
      <w:r w:rsidR="00F37CDB">
        <w:t>pply innovation to streamline</w:t>
      </w:r>
      <w:r>
        <w:t xml:space="preserve"> </w:t>
      </w:r>
      <w:proofErr w:type="gramStart"/>
      <w:r>
        <w:t>the procure</w:t>
      </w:r>
      <w:proofErr w:type="gramEnd"/>
      <w:r>
        <w:t xml:space="preserve"> to pay </w:t>
      </w:r>
      <w:r w:rsidR="00F37CDB">
        <w:t>process to decrease procurement cycle time</w:t>
      </w:r>
      <w:r>
        <w:t xml:space="preserve">, </w:t>
      </w:r>
      <w:r w:rsidR="00F37CDB">
        <w:t>decrease</w:t>
      </w:r>
      <w:r>
        <w:t xml:space="preserve"> the complexity of the process and </w:t>
      </w:r>
      <w:r w:rsidR="00F37CDB">
        <w:t>increase</w:t>
      </w:r>
      <w:r>
        <w:t xml:space="preserve"> efficiency.</w:t>
      </w:r>
    </w:p>
    <w:p w14:paraId="7F6DA06E" w14:textId="77777777" w:rsidR="002875F7" w:rsidRPr="002875F7" w:rsidRDefault="00F40F83" w:rsidP="007C5C7A">
      <w:pPr>
        <w:pStyle w:val="Heading2"/>
      </w:pPr>
      <w:bookmarkStart w:id="11" w:name="_Toc117766920"/>
      <w:r>
        <w:t>3</w:t>
      </w:r>
      <w:r w:rsidR="00F54A9F">
        <w:t xml:space="preserve">.3 </w:t>
      </w:r>
      <w:r w:rsidR="002875F7">
        <w:t>Vision</w:t>
      </w:r>
      <w:bookmarkEnd w:id="11"/>
    </w:p>
    <w:p w14:paraId="2BB09413" w14:textId="77777777" w:rsidR="002875F7" w:rsidRDefault="008D21F1" w:rsidP="002875F7">
      <w:r>
        <w:t>The Corporate Procurement Strategy plays an indirect role in support of the Council</w:t>
      </w:r>
      <w:r w:rsidR="00D64858">
        <w:t>’</w:t>
      </w:r>
      <w:r>
        <w:t xml:space="preserve">s four key priorities </w:t>
      </w:r>
      <w:r w:rsidR="000C7EF0">
        <w:t xml:space="preserve"> ( Enable an inclusive economy, Deliver more affordable housing, Support thriving communities and Pursue a zero carbon Oxford) </w:t>
      </w:r>
      <w:r>
        <w:t>by</w:t>
      </w:r>
      <w:r w:rsidR="00F37CDB">
        <w:t xml:space="preserve"> add</w:t>
      </w:r>
      <w:r>
        <w:t xml:space="preserve">ing </w:t>
      </w:r>
      <w:r w:rsidR="00F37CDB">
        <w:t>value to all procurements</w:t>
      </w:r>
      <w:r w:rsidR="00FA3FED">
        <w:t xml:space="preserve"> for our stakeholders</w:t>
      </w:r>
      <w:r w:rsidR="00F37CDB">
        <w:t xml:space="preserve"> through strateg</w:t>
      </w:r>
      <w:r w:rsidR="00F54A9F">
        <w:t>ic thinking, efficient process</w:t>
      </w:r>
      <w:r w:rsidR="00F37CDB">
        <w:t xml:space="preserve"> integration, </w:t>
      </w:r>
      <w:r w:rsidR="00FA3FED">
        <w:t>and exceptional</w:t>
      </w:r>
      <w:r w:rsidR="00F37CDB">
        <w:t xml:space="preserve"> customer care and </w:t>
      </w:r>
      <w:r>
        <w:t>by offering</w:t>
      </w:r>
      <w:r w:rsidR="00F37CDB">
        <w:t xml:space="preserve"> our services outside of the </w:t>
      </w:r>
      <w:r w:rsidR="00FE6D34">
        <w:t>C</w:t>
      </w:r>
      <w:r>
        <w:t>ouncil</w:t>
      </w:r>
      <w:r w:rsidR="00FA3FED">
        <w:t xml:space="preserve"> where practical to do so promoting the long term interests of the communities we represent.</w:t>
      </w:r>
    </w:p>
    <w:p w14:paraId="302D56F9" w14:textId="77777777" w:rsidR="002875F7" w:rsidRPr="002875F7" w:rsidRDefault="00F40F83" w:rsidP="002875F7">
      <w:pPr>
        <w:pStyle w:val="Heading1"/>
        <w:rPr>
          <w:rStyle w:val="IntenseReference"/>
          <w:b w:val="0"/>
          <w:bCs w:val="0"/>
          <w:i w:val="0"/>
          <w:iCs w:val="0"/>
          <w:caps/>
          <w:color w:val="FFFFFF" w:themeColor="background1"/>
        </w:rPr>
      </w:pPr>
      <w:bookmarkStart w:id="12" w:name="_Toc117766921"/>
      <w:r>
        <w:rPr>
          <w:rStyle w:val="IntenseReference"/>
          <w:b w:val="0"/>
          <w:bCs w:val="0"/>
          <w:i w:val="0"/>
          <w:iCs w:val="0"/>
          <w:caps/>
          <w:color w:val="FFFFFF" w:themeColor="background1"/>
        </w:rPr>
        <w:t>4</w:t>
      </w:r>
      <w:r w:rsidR="00EE64C0">
        <w:rPr>
          <w:rStyle w:val="IntenseReference"/>
          <w:b w:val="0"/>
          <w:bCs w:val="0"/>
          <w:i w:val="0"/>
          <w:iCs w:val="0"/>
          <w:caps/>
          <w:color w:val="FFFFFF" w:themeColor="background1"/>
        </w:rPr>
        <w:t xml:space="preserve">. </w:t>
      </w:r>
      <w:r w:rsidR="002875F7" w:rsidRPr="002875F7">
        <w:rPr>
          <w:rStyle w:val="IntenseReference"/>
          <w:b w:val="0"/>
          <w:bCs w:val="0"/>
          <w:i w:val="0"/>
          <w:iCs w:val="0"/>
          <w:caps/>
          <w:color w:val="FFFFFF" w:themeColor="background1"/>
        </w:rPr>
        <w:t>Our Aims, Objectives and Key Priorities</w:t>
      </w:r>
      <w:bookmarkEnd w:id="12"/>
    </w:p>
    <w:p w14:paraId="566E5F87" w14:textId="77777777" w:rsidR="002875F7" w:rsidRDefault="00F40F83" w:rsidP="007C5C7A">
      <w:pPr>
        <w:pStyle w:val="Heading2"/>
      </w:pPr>
      <w:bookmarkStart w:id="13" w:name="_Toc117766922"/>
      <w:r>
        <w:t>4</w:t>
      </w:r>
      <w:r w:rsidR="00F54A9F">
        <w:t xml:space="preserve">.1 </w:t>
      </w:r>
      <w:r w:rsidR="002875F7">
        <w:t>Aims</w:t>
      </w:r>
      <w:bookmarkEnd w:id="13"/>
    </w:p>
    <w:p w14:paraId="6353AC69" w14:textId="77777777" w:rsidR="00F37CDB" w:rsidRPr="00D54752" w:rsidRDefault="00F37CDB" w:rsidP="00D54752">
      <w:r w:rsidRPr="00D54752">
        <w:t>Procurement commits to the following</w:t>
      </w:r>
      <w:r w:rsidR="00D54752" w:rsidRPr="00D54752">
        <w:t xml:space="preserve"> to support the delivery of the Corporate Priorities</w:t>
      </w:r>
      <w:r w:rsidRPr="00D54752">
        <w:t>:</w:t>
      </w:r>
    </w:p>
    <w:p w14:paraId="1C0A2757" w14:textId="77777777" w:rsidR="00D54752" w:rsidRDefault="00D54752" w:rsidP="00D54752">
      <w:pPr>
        <w:pStyle w:val="ListParagraph"/>
        <w:numPr>
          <w:ilvl w:val="0"/>
          <w:numId w:val="3"/>
        </w:numPr>
        <w:rPr>
          <w:rFonts w:asciiTheme="minorHAnsi" w:hAnsiTheme="minorHAnsi" w:cstheme="minorHAnsi"/>
          <w:sz w:val="20"/>
          <w:szCs w:val="20"/>
        </w:rPr>
      </w:pPr>
      <w:r w:rsidRPr="00D54752">
        <w:rPr>
          <w:rFonts w:asciiTheme="minorHAnsi" w:hAnsiTheme="minorHAnsi" w:cstheme="minorHAnsi"/>
          <w:sz w:val="20"/>
          <w:szCs w:val="20"/>
        </w:rPr>
        <w:t xml:space="preserve">To increase spend with </w:t>
      </w:r>
      <w:r w:rsidR="004A2B96">
        <w:rPr>
          <w:rFonts w:asciiTheme="minorHAnsi" w:hAnsiTheme="minorHAnsi" w:cstheme="minorHAnsi"/>
          <w:sz w:val="20"/>
          <w:szCs w:val="20"/>
        </w:rPr>
        <w:t>Small and Medium sized Enterprises (</w:t>
      </w:r>
      <w:r w:rsidRPr="00D54752">
        <w:rPr>
          <w:rFonts w:asciiTheme="minorHAnsi" w:hAnsiTheme="minorHAnsi" w:cstheme="minorHAnsi"/>
          <w:sz w:val="20"/>
          <w:szCs w:val="20"/>
        </w:rPr>
        <w:t>SME’s</w:t>
      </w:r>
      <w:r w:rsidR="00774F8F">
        <w:rPr>
          <w:rFonts w:asciiTheme="minorHAnsi" w:hAnsiTheme="minorHAnsi" w:cstheme="minorHAnsi"/>
          <w:sz w:val="20"/>
          <w:szCs w:val="20"/>
        </w:rPr>
        <w:t>)</w:t>
      </w:r>
      <w:r w:rsidR="00774F8F" w:rsidRPr="00D54752">
        <w:rPr>
          <w:rFonts w:asciiTheme="minorHAnsi" w:hAnsiTheme="minorHAnsi" w:cstheme="minorHAnsi"/>
          <w:sz w:val="20"/>
          <w:szCs w:val="20"/>
        </w:rPr>
        <w:t>,</w:t>
      </w:r>
      <w:r w:rsidR="004424A9">
        <w:rPr>
          <w:rFonts w:asciiTheme="minorHAnsi" w:hAnsiTheme="minorHAnsi" w:cstheme="minorHAnsi"/>
          <w:sz w:val="20"/>
          <w:szCs w:val="20"/>
        </w:rPr>
        <w:t xml:space="preserve"> Local (OX Postcodes) and</w:t>
      </w:r>
      <w:r w:rsidR="004424A9" w:rsidRPr="00D54752">
        <w:rPr>
          <w:rFonts w:asciiTheme="minorHAnsi" w:hAnsiTheme="minorHAnsi" w:cstheme="minorHAnsi"/>
          <w:sz w:val="20"/>
          <w:szCs w:val="20"/>
        </w:rPr>
        <w:t xml:space="preserve"> </w:t>
      </w:r>
      <w:r w:rsidRPr="00D54752">
        <w:rPr>
          <w:rFonts w:asciiTheme="minorHAnsi" w:hAnsiTheme="minorHAnsi" w:cstheme="minorHAnsi"/>
          <w:sz w:val="20"/>
          <w:szCs w:val="20"/>
        </w:rPr>
        <w:t>VCSE’s (Voluntary, Community and Social Enterprise</w:t>
      </w:r>
      <w:r w:rsidR="004424A9">
        <w:rPr>
          <w:rFonts w:asciiTheme="minorHAnsi" w:hAnsiTheme="minorHAnsi" w:cstheme="minorHAnsi"/>
          <w:sz w:val="20"/>
          <w:szCs w:val="20"/>
        </w:rPr>
        <w:t>)</w:t>
      </w:r>
      <w:r w:rsidRPr="00D54752">
        <w:rPr>
          <w:rFonts w:asciiTheme="minorHAnsi" w:hAnsiTheme="minorHAnsi" w:cstheme="minorHAnsi"/>
          <w:sz w:val="20"/>
          <w:szCs w:val="20"/>
        </w:rPr>
        <w:t xml:space="preserve"> Organisations</w:t>
      </w:r>
      <w:r w:rsidR="004424A9">
        <w:rPr>
          <w:rFonts w:asciiTheme="minorHAnsi" w:hAnsiTheme="minorHAnsi" w:cstheme="minorHAnsi"/>
          <w:sz w:val="20"/>
          <w:szCs w:val="20"/>
        </w:rPr>
        <w:t>.  The Government has set a target of 33% of spend with SME’s</w:t>
      </w:r>
      <w:r>
        <w:rPr>
          <w:rFonts w:asciiTheme="minorHAnsi" w:hAnsiTheme="minorHAnsi" w:cstheme="minorHAnsi"/>
          <w:sz w:val="20"/>
          <w:szCs w:val="20"/>
        </w:rPr>
        <w:t>;</w:t>
      </w:r>
    </w:p>
    <w:p w14:paraId="4C93FD5C" w14:textId="77777777" w:rsidR="00D54752" w:rsidRPr="00D54752" w:rsidRDefault="00D54752" w:rsidP="00D54752">
      <w:pPr>
        <w:pStyle w:val="ListParagraph"/>
        <w:numPr>
          <w:ilvl w:val="0"/>
          <w:numId w:val="3"/>
        </w:numPr>
        <w:rPr>
          <w:rFonts w:asciiTheme="minorHAnsi" w:hAnsiTheme="minorHAnsi" w:cstheme="minorHAnsi"/>
          <w:sz w:val="20"/>
          <w:szCs w:val="20"/>
        </w:rPr>
      </w:pPr>
      <w:r w:rsidRPr="00D54752">
        <w:rPr>
          <w:rFonts w:asciiTheme="minorHAnsi" w:hAnsiTheme="minorHAnsi" w:cstheme="minorHAnsi"/>
          <w:sz w:val="20"/>
          <w:szCs w:val="20"/>
        </w:rPr>
        <w:t>To increase understanding of and to deliver the benefits of Social Value</w:t>
      </w:r>
      <w:r w:rsidR="00901BB3">
        <w:rPr>
          <w:rFonts w:asciiTheme="minorHAnsi" w:hAnsiTheme="minorHAnsi" w:cstheme="minorHAnsi"/>
          <w:sz w:val="20"/>
          <w:szCs w:val="20"/>
        </w:rPr>
        <w:t xml:space="preserve"> and Community Wealth Building</w:t>
      </w:r>
      <w:r>
        <w:rPr>
          <w:rFonts w:asciiTheme="minorHAnsi" w:hAnsiTheme="minorHAnsi" w:cstheme="minorHAnsi"/>
          <w:sz w:val="20"/>
          <w:szCs w:val="20"/>
        </w:rPr>
        <w:t>;</w:t>
      </w:r>
    </w:p>
    <w:p w14:paraId="646B9A92" w14:textId="77777777" w:rsidR="00D54752" w:rsidRDefault="00D54752" w:rsidP="00D54752">
      <w:pPr>
        <w:pStyle w:val="ListParagraph"/>
        <w:numPr>
          <w:ilvl w:val="0"/>
          <w:numId w:val="3"/>
        </w:numPr>
        <w:rPr>
          <w:rFonts w:asciiTheme="minorHAnsi" w:hAnsiTheme="minorHAnsi" w:cstheme="minorHAnsi"/>
          <w:sz w:val="20"/>
          <w:szCs w:val="20"/>
        </w:rPr>
      </w:pPr>
      <w:r w:rsidRPr="00D54752">
        <w:rPr>
          <w:rFonts w:asciiTheme="minorHAnsi" w:hAnsiTheme="minorHAnsi" w:cstheme="minorHAnsi"/>
          <w:sz w:val="20"/>
          <w:szCs w:val="20"/>
        </w:rPr>
        <w:t>To support Equality Diversity and Inclusion by embedding principles in the procurement process</w:t>
      </w:r>
      <w:r>
        <w:rPr>
          <w:rFonts w:asciiTheme="minorHAnsi" w:hAnsiTheme="minorHAnsi" w:cstheme="minorHAnsi"/>
          <w:sz w:val="20"/>
          <w:szCs w:val="20"/>
        </w:rPr>
        <w:t>;</w:t>
      </w:r>
    </w:p>
    <w:p w14:paraId="0F15BF50" w14:textId="77777777" w:rsidR="00774F8F" w:rsidRPr="00D54752" w:rsidRDefault="00774F8F" w:rsidP="00D5475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To support Sustainable requirements</w:t>
      </w:r>
      <w:r w:rsidR="006C68CE">
        <w:rPr>
          <w:rFonts w:asciiTheme="minorHAnsi" w:hAnsiTheme="minorHAnsi" w:cstheme="minorHAnsi"/>
          <w:sz w:val="20"/>
          <w:szCs w:val="20"/>
        </w:rPr>
        <w:t xml:space="preserve"> in the procurement process</w:t>
      </w:r>
      <w:r>
        <w:rPr>
          <w:rFonts w:asciiTheme="minorHAnsi" w:hAnsiTheme="minorHAnsi" w:cstheme="minorHAnsi"/>
          <w:sz w:val="20"/>
          <w:szCs w:val="20"/>
        </w:rPr>
        <w:t xml:space="preserve"> using the S</w:t>
      </w:r>
      <w:r w:rsidR="002D6B49">
        <w:rPr>
          <w:rFonts w:asciiTheme="minorHAnsi" w:hAnsiTheme="minorHAnsi" w:cstheme="minorHAnsi"/>
          <w:sz w:val="20"/>
          <w:szCs w:val="20"/>
        </w:rPr>
        <w:t>ustainability Impact Assessment;</w:t>
      </w:r>
    </w:p>
    <w:p w14:paraId="50592598" w14:textId="77777777" w:rsidR="00D54752" w:rsidRDefault="00D54752" w:rsidP="00D5475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To treat </w:t>
      </w:r>
      <w:r w:rsidR="006C68CE">
        <w:rPr>
          <w:rFonts w:asciiTheme="minorHAnsi" w:hAnsiTheme="minorHAnsi" w:cstheme="minorHAnsi"/>
          <w:sz w:val="20"/>
          <w:szCs w:val="20"/>
        </w:rPr>
        <w:t xml:space="preserve">suppliers and </w:t>
      </w:r>
      <w:r>
        <w:rPr>
          <w:rFonts w:asciiTheme="minorHAnsi" w:hAnsiTheme="minorHAnsi" w:cstheme="minorHAnsi"/>
          <w:sz w:val="20"/>
          <w:szCs w:val="20"/>
        </w:rPr>
        <w:t>customers with respect and courtesy, and respond to their needs with a sense of urgency;</w:t>
      </w:r>
    </w:p>
    <w:p w14:paraId="070427A4" w14:textId="77777777" w:rsidR="00324E3F" w:rsidRDefault="00324E3F" w:rsidP="00324E3F">
      <w:pPr>
        <w:pStyle w:val="ListParagraph"/>
        <w:numPr>
          <w:ilvl w:val="0"/>
          <w:numId w:val="3"/>
        </w:numPr>
        <w:rPr>
          <w:rFonts w:asciiTheme="minorHAnsi" w:hAnsiTheme="minorHAnsi" w:cstheme="minorHAnsi"/>
          <w:sz w:val="20"/>
          <w:szCs w:val="20"/>
        </w:rPr>
      </w:pPr>
      <w:r w:rsidRPr="008F5626">
        <w:rPr>
          <w:rFonts w:asciiTheme="minorHAnsi" w:hAnsiTheme="minorHAnsi" w:cstheme="minorHAnsi"/>
          <w:sz w:val="20"/>
          <w:szCs w:val="20"/>
        </w:rPr>
        <w:t>Focus on the Oxford Living Wage  and or Living Wage Foundation Rate</w:t>
      </w:r>
      <w:r>
        <w:rPr>
          <w:rFonts w:asciiTheme="minorHAnsi" w:hAnsiTheme="minorHAnsi" w:cstheme="minorHAnsi"/>
          <w:sz w:val="20"/>
          <w:szCs w:val="20"/>
        </w:rPr>
        <w:t>;</w:t>
      </w:r>
    </w:p>
    <w:p w14:paraId="457175E0" w14:textId="77777777" w:rsidR="00324E3F" w:rsidRPr="008F5626" w:rsidRDefault="00324E3F" w:rsidP="00324E3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P</w:t>
      </w:r>
      <w:r w:rsidRPr="008F5626">
        <w:rPr>
          <w:rFonts w:asciiTheme="minorHAnsi" w:hAnsiTheme="minorHAnsi" w:cstheme="minorHAnsi"/>
          <w:sz w:val="20"/>
          <w:szCs w:val="20"/>
        </w:rPr>
        <w:t>rocurement will seek to promote and increase the number of suppliers that adopt the Oxford Living wage or Living Wage Foundation rate on supply of goods, services or works by incorporating the requirement into both tender doc</w:t>
      </w:r>
      <w:r>
        <w:rPr>
          <w:rFonts w:asciiTheme="minorHAnsi" w:hAnsiTheme="minorHAnsi" w:cstheme="minorHAnsi"/>
          <w:sz w:val="20"/>
          <w:szCs w:val="20"/>
        </w:rPr>
        <w:t>uments and terms and conditions;</w:t>
      </w:r>
    </w:p>
    <w:p w14:paraId="2CC3EE2A" w14:textId="77777777" w:rsidR="00324E3F" w:rsidRDefault="00324E3F" w:rsidP="00324E3F">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W</w:t>
      </w:r>
      <w:r w:rsidRPr="008F5626">
        <w:rPr>
          <w:rFonts w:asciiTheme="minorHAnsi" w:hAnsiTheme="minorHAnsi" w:cstheme="minorHAnsi"/>
          <w:sz w:val="20"/>
          <w:szCs w:val="20"/>
        </w:rPr>
        <w:t>ork with all the council entities and other authorities across Oxfordshire</w:t>
      </w:r>
      <w:r>
        <w:rPr>
          <w:rFonts w:asciiTheme="minorHAnsi" w:hAnsiTheme="minorHAnsi" w:cstheme="minorHAnsi"/>
          <w:sz w:val="20"/>
          <w:szCs w:val="20"/>
        </w:rPr>
        <w:t>;</w:t>
      </w:r>
    </w:p>
    <w:p w14:paraId="73948849" w14:textId="77777777" w:rsidR="00324E3F" w:rsidRDefault="00324E3F" w:rsidP="00324E3F">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Promote opportunities for local businesses either directly with the Council or indirectly through contracts that it holds with prime contractors;</w:t>
      </w:r>
    </w:p>
    <w:p w14:paraId="243D6037" w14:textId="77777777" w:rsidR="00324E3F" w:rsidRPr="002D6B49" w:rsidRDefault="00324E3F" w:rsidP="002D6B49">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Review the new procurement portal to see how that could support reserving local contracts (set up a database of local suppliers that could be approached to tender for below threshold requirements).</w:t>
      </w:r>
    </w:p>
    <w:p w14:paraId="61A0F605" w14:textId="77777777" w:rsidR="008F5626" w:rsidRPr="008F5626" w:rsidRDefault="008F5626" w:rsidP="008F5626">
      <w:pPr>
        <w:pStyle w:val="ListParagraph"/>
        <w:numPr>
          <w:ilvl w:val="0"/>
          <w:numId w:val="3"/>
        </w:numPr>
        <w:rPr>
          <w:rFonts w:asciiTheme="minorHAnsi" w:hAnsiTheme="minorHAnsi" w:cstheme="minorHAnsi"/>
          <w:sz w:val="20"/>
          <w:szCs w:val="20"/>
        </w:rPr>
      </w:pPr>
      <w:r w:rsidRPr="008F5626">
        <w:rPr>
          <w:rFonts w:asciiTheme="minorHAnsi" w:hAnsiTheme="minorHAnsi" w:cstheme="minorHAnsi"/>
          <w:sz w:val="20"/>
          <w:szCs w:val="20"/>
        </w:rPr>
        <w:t>Ensure the Council delivers on the procurement of ethical and sustain</w:t>
      </w:r>
      <w:r w:rsidR="00F54A9F">
        <w:rPr>
          <w:rFonts w:asciiTheme="minorHAnsi" w:hAnsiTheme="minorHAnsi" w:cstheme="minorHAnsi"/>
          <w:sz w:val="20"/>
          <w:szCs w:val="20"/>
        </w:rPr>
        <w:t>able goods / services and works;</w:t>
      </w:r>
    </w:p>
    <w:p w14:paraId="770B0810" w14:textId="77777777" w:rsidR="008F5626" w:rsidRPr="008F5626" w:rsidRDefault="00F54A9F" w:rsidP="008F5626">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Embed</w:t>
      </w:r>
      <w:r w:rsidR="008F5626" w:rsidRPr="008F5626">
        <w:rPr>
          <w:rFonts w:asciiTheme="minorHAnsi" w:hAnsiTheme="minorHAnsi" w:cstheme="minorHAnsi"/>
          <w:sz w:val="20"/>
          <w:szCs w:val="20"/>
        </w:rPr>
        <w:t xml:space="preserve"> net zero in procurement</w:t>
      </w:r>
      <w:r>
        <w:rPr>
          <w:rFonts w:asciiTheme="minorHAnsi" w:hAnsiTheme="minorHAnsi" w:cstheme="minorHAnsi"/>
          <w:sz w:val="20"/>
          <w:szCs w:val="20"/>
        </w:rPr>
        <w:t>;</w:t>
      </w:r>
    </w:p>
    <w:p w14:paraId="7D413D61" w14:textId="77777777" w:rsidR="008F5626" w:rsidRDefault="008F5626" w:rsidP="008F5626">
      <w:pPr>
        <w:pStyle w:val="ListParagraph"/>
        <w:numPr>
          <w:ilvl w:val="1"/>
          <w:numId w:val="3"/>
        </w:numPr>
        <w:rPr>
          <w:rFonts w:asciiTheme="minorHAnsi" w:hAnsiTheme="minorHAnsi" w:cstheme="minorHAnsi"/>
          <w:sz w:val="20"/>
          <w:szCs w:val="20"/>
        </w:rPr>
      </w:pPr>
      <w:r w:rsidRPr="008F5626">
        <w:rPr>
          <w:rFonts w:asciiTheme="minorHAnsi" w:hAnsiTheme="minorHAnsi" w:cstheme="minorHAnsi"/>
          <w:sz w:val="20"/>
          <w:szCs w:val="20"/>
        </w:rPr>
        <w:t>Procurement will ensure that where practical to do so, climate change adaptions will be incorporated into major projects at all stages of the procurement exercise</w:t>
      </w:r>
      <w:r w:rsidR="00F54A9F">
        <w:rPr>
          <w:rFonts w:asciiTheme="minorHAnsi" w:hAnsiTheme="minorHAnsi" w:cstheme="minorHAnsi"/>
          <w:sz w:val="20"/>
          <w:szCs w:val="20"/>
        </w:rPr>
        <w:t>;</w:t>
      </w:r>
    </w:p>
    <w:p w14:paraId="4ADC9DE9" w14:textId="77777777" w:rsidR="001477EA" w:rsidRPr="001477EA" w:rsidRDefault="001477EA" w:rsidP="001477EA">
      <w:pPr>
        <w:pStyle w:val="ListParagraph"/>
        <w:numPr>
          <w:ilvl w:val="0"/>
          <w:numId w:val="3"/>
        </w:numPr>
        <w:rPr>
          <w:rFonts w:ascii="Calibri" w:hAnsi="Calibri" w:cs="Calibri"/>
          <w:sz w:val="20"/>
          <w:szCs w:val="20"/>
        </w:rPr>
      </w:pPr>
      <w:r>
        <w:rPr>
          <w:rFonts w:asciiTheme="minorHAnsi" w:hAnsiTheme="minorHAnsi" w:cstheme="minorHAnsi"/>
          <w:sz w:val="20"/>
          <w:szCs w:val="20"/>
        </w:rPr>
        <w:t xml:space="preserve">Promote “Selling to the Council” on its website </w:t>
      </w:r>
      <w:hyperlink r:id="rId12" w:history="1">
        <w:r w:rsidRPr="001477EA">
          <w:rPr>
            <w:rStyle w:val="Hyperlink"/>
            <w:rFonts w:ascii="Calibri" w:hAnsi="Calibri" w:cs="Calibri"/>
            <w:sz w:val="20"/>
            <w:szCs w:val="20"/>
          </w:rPr>
          <w:t>Selling to the Council | Oxford City Council</w:t>
        </w:r>
      </w:hyperlink>
      <w:r>
        <w:rPr>
          <w:rFonts w:ascii="Calibri" w:hAnsi="Calibri" w:cs="Calibri"/>
          <w:sz w:val="20"/>
          <w:szCs w:val="20"/>
        </w:rPr>
        <w:t>.</w:t>
      </w:r>
    </w:p>
    <w:p w14:paraId="0CA2CE3C" w14:textId="77777777" w:rsidR="008F5626" w:rsidRDefault="008F5626" w:rsidP="008F5626">
      <w:pPr>
        <w:pStyle w:val="ListParagraph"/>
        <w:rPr>
          <w:rFonts w:asciiTheme="minorHAnsi" w:hAnsiTheme="minorHAnsi" w:cstheme="minorHAnsi"/>
          <w:sz w:val="20"/>
          <w:szCs w:val="20"/>
        </w:rPr>
      </w:pPr>
    </w:p>
    <w:p w14:paraId="5CCE9E6D" w14:textId="70E7F8AD" w:rsidR="004E20D4" w:rsidRPr="004E20D4" w:rsidRDefault="004E20D4" w:rsidP="004E20D4">
      <w:pPr>
        <w:rPr>
          <w:rFonts w:cstheme="minorHAnsi"/>
        </w:rPr>
      </w:pPr>
      <w:r w:rsidRPr="004E20D4">
        <w:rPr>
          <w:rFonts w:cstheme="minorHAnsi"/>
        </w:rPr>
        <w:t xml:space="preserve">In the above context, delivery of the Council’s </w:t>
      </w:r>
      <w:r>
        <w:rPr>
          <w:rFonts w:cstheme="minorHAnsi"/>
        </w:rPr>
        <w:t>priorities</w:t>
      </w:r>
      <w:r w:rsidRPr="004E20D4">
        <w:rPr>
          <w:rFonts w:cstheme="minorHAnsi"/>
        </w:rPr>
        <w:t xml:space="preserve">, including better outcomes from public services and regeneration of places, requires resourcefulness and Procurement is responding to this requirement </w:t>
      </w:r>
      <w:r>
        <w:rPr>
          <w:rFonts w:cstheme="minorHAnsi"/>
        </w:rPr>
        <w:t>by m</w:t>
      </w:r>
      <w:r w:rsidRPr="004E20D4">
        <w:rPr>
          <w:rFonts w:cstheme="minorHAnsi"/>
        </w:rPr>
        <w:t>aximising value for money – gaining further social value benefits,</w:t>
      </w:r>
      <w:r>
        <w:rPr>
          <w:rFonts w:cstheme="minorHAnsi"/>
        </w:rPr>
        <w:t xml:space="preserve"> </w:t>
      </w:r>
      <w:r w:rsidRPr="004E20D4">
        <w:rPr>
          <w:rFonts w:cstheme="minorHAnsi"/>
        </w:rPr>
        <w:t>supporting stakeholders in the use of frameworks and other procurement portals like the digital market place where value for money can be demonstrated.</w:t>
      </w:r>
      <w:r>
        <w:rPr>
          <w:rFonts w:cstheme="minorHAnsi"/>
        </w:rPr>
        <w:t xml:space="preserve"> </w:t>
      </w:r>
      <w:r w:rsidR="00974A76">
        <w:rPr>
          <w:rFonts w:cstheme="minorHAnsi"/>
        </w:rPr>
        <w:t>It will create</w:t>
      </w:r>
      <w:r w:rsidR="00974A76" w:rsidRPr="004E20D4">
        <w:rPr>
          <w:rFonts w:cstheme="minorHAnsi"/>
        </w:rPr>
        <w:t xml:space="preserve"> </w:t>
      </w:r>
      <w:r w:rsidRPr="004E20D4">
        <w:rPr>
          <w:rFonts w:cstheme="minorHAnsi"/>
        </w:rPr>
        <w:t xml:space="preserve">commercial opportunities – </w:t>
      </w:r>
      <w:r>
        <w:rPr>
          <w:rFonts w:cstheme="minorHAnsi"/>
        </w:rPr>
        <w:t>promoting</w:t>
      </w:r>
      <w:r w:rsidRPr="004E20D4">
        <w:rPr>
          <w:rFonts w:cstheme="minorHAnsi"/>
        </w:rPr>
        <w:t xml:space="preserve"> revenue generation through promotion and support of the Council’s two wholly owned companies</w:t>
      </w:r>
      <w:r>
        <w:rPr>
          <w:rFonts w:cstheme="minorHAnsi"/>
        </w:rPr>
        <w:t xml:space="preserve">.  </w:t>
      </w:r>
      <w:r w:rsidR="00974A76">
        <w:rPr>
          <w:rFonts w:cstheme="minorHAnsi"/>
        </w:rPr>
        <w:t>It will also support s</w:t>
      </w:r>
      <w:r w:rsidRPr="004E20D4">
        <w:rPr>
          <w:rFonts w:cstheme="minorHAnsi"/>
        </w:rPr>
        <w:t>marter ways of working – embracing innovation, collaboration and embedding change.</w:t>
      </w:r>
    </w:p>
    <w:p w14:paraId="7DA09223" w14:textId="77777777" w:rsidR="002875F7" w:rsidRDefault="00F40F83" w:rsidP="007C5C7A">
      <w:pPr>
        <w:pStyle w:val="Heading2"/>
      </w:pPr>
      <w:bookmarkStart w:id="14" w:name="_Toc117766923"/>
      <w:r>
        <w:t>4</w:t>
      </w:r>
      <w:r w:rsidR="00F54A9F">
        <w:t xml:space="preserve">.2 </w:t>
      </w:r>
      <w:r w:rsidR="002875F7">
        <w:t>Objectives</w:t>
      </w:r>
      <w:bookmarkEnd w:id="14"/>
    </w:p>
    <w:p w14:paraId="1413410D" w14:textId="0E3BF8D7" w:rsidR="00B25FEB" w:rsidRDefault="008F5626" w:rsidP="008F5626">
      <w:r>
        <w:t xml:space="preserve">Procurement is a continuously evolving area and with the on-set of the </w:t>
      </w:r>
      <w:r w:rsidR="00FE6D34">
        <w:t>P</w:t>
      </w:r>
      <w:r>
        <w:t xml:space="preserve">rocurement Bill 2022 </w:t>
      </w:r>
      <w:r w:rsidR="00974A76">
        <w:t>and significant</w:t>
      </w:r>
      <w:r>
        <w:t xml:space="preserve"> budgetary constraints that the </w:t>
      </w:r>
      <w:r w:rsidR="00FE6D34">
        <w:t>C</w:t>
      </w:r>
      <w:r>
        <w:t xml:space="preserve">ouncil has it is important that procurement not only </w:t>
      </w:r>
      <w:r w:rsidR="00B25FEB">
        <w:t xml:space="preserve">delivers fit for purpose goods, works, </w:t>
      </w:r>
      <w:r>
        <w:t>services</w:t>
      </w:r>
      <w:r w:rsidR="00B25FEB">
        <w:t xml:space="preserve"> and or Utilities</w:t>
      </w:r>
      <w:r>
        <w:t xml:space="preserve">, but also ensures that it delivers on value for money. </w:t>
      </w:r>
    </w:p>
    <w:p w14:paraId="41B35EC6" w14:textId="77777777" w:rsidR="002D6B49" w:rsidRDefault="002D6B49" w:rsidP="002D6B49">
      <w:r>
        <w:t>The overarching objective is to achieve the best commercial results, whilst supporting key social outcomes that meet Oxford’s needs strategically; creating opportunities for local people, and encouraging spend with local SMEs, social enterprises, co-operatives and voluntary bodies and organisations committed to environmental improvement by:</w:t>
      </w:r>
    </w:p>
    <w:p w14:paraId="19479D9C" w14:textId="77777777" w:rsidR="002D6B49" w:rsidRPr="002D6B49" w:rsidRDefault="002D6B49" w:rsidP="002D6B49">
      <w:r w:rsidRPr="002D6B49">
        <w:t>Considering throughout the commissioning cycle what community benefits can be derived through social value, and where building provisions for such in all our contracts is beneficial;</w:t>
      </w:r>
    </w:p>
    <w:p w14:paraId="6B762EAE" w14:textId="77777777" w:rsidR="002D6B49" w:rsidRPr="002D6B49" w:rsidRDefault="002D6B49" w:rsidP="002D6B49">
      <w:r w:rsidRPr="002D6B49">
        <w:t>Incorporating social and environmental aspects into specifications award criteria and contract conditions where appropriate and proportionate to what is being procured or provided;</w:t>
      </w:r>
    </w:p>
    <w:p w14:paraId="2FE9AE37" w14:textId="77777777" w:rsidR="002D6B49" w:rsidRPr="002D6B49" w:rsidRDefault="002D6B49" w:rsidP="002D6B49">
      <w:r w:rsidRPr="002D6B49">
        <w:t>Promoting innovation, employment and social inclusion, protection of the environment, energy efficiency and combating climate change; and</w:t>
      </w:r>
    </w:p>
    <w:p w14:paraId="32CD4820" w14:textId="77777777" w:rsidR="002D6B49" w:rsidRPr="002D6B49" w:rsidRDefault="002D6B49" w:rsidP="002D6B49">
      <w:r w:rsidRPr="002D6B49">
        <w:t>Creating and nurturing a vibrant, healthy, innovative, competitive rich and representative diverse marketplace of suppliers reflecting Oxford localities that include and encourage small business, mutual, charities, community groups, co- operatives and social enterprises</w:t>
      </w:r>
      <w:r w:rsidR="001477EA">
        <w:t>;</w:t>
      </w:r>
    </w:p>
    <w:p w14:paraId="0854CCCB" w14:textId="77777777" w:rsidR="002D6B49" w:rsidRPr="002D6B49" w:rsidRDefault="002D6B49" w:rsidP="002D6B49">
      <w:r w:rsidRPr="002D6B49">
        <w:t>Varying the extent to which social value might be measured by the Council. Some contracts will be well placed to deliver greater social value in the communities they serve than others.</w:t>
      </w:r>
    </w:p>
    <w:p w14:paraId="38414111" w14:textId="77777777" w:rsidR="002D6B49" w:rsidRDefault="002D6B49" w:rsidP="002D6B49">
      <w:r>
        <w:t>The Council is committed to sustainable procurement and its procurement activities are not solely based on the economic factors, but aim to achieve the best value based on the whole life costs, the associated risks, measures of success and implications for the society and environment.</w:t>
      </w:r>
    </w:p>
    <w:p w14:paraId="3A6A014B" w14:textId="77777777" w:rsidR="002D6B49" w:rsidRDefault="002D6B49" w:rsidP="002D6B49">
      <w:r>
        <w:t>Procurement is focused on developing its approach to how it accesses, manages and monitors the use of community benefits in its contracts to ensure the additional benefits offered by the Council’s suppliers will deliver the best possible social value for the communities of Oxford City.</w:t>
      </w:r>
    </w:p>
    <w:p w14:paraId="0FC0651A" w14:textId="77777777" w:rsidR="00682D7A" w:rsidRDefault="00682D7A" w:rsidP="002D6B49">
      <w:r>
        <w:t xml:space="preserve">Further details can be found on the “Selling to the Council” web pages. </w:t>
      </w:r>
      <w:hyperlink r:id="rId13" w:history="1">
        <w:r>
          <w:rPr>
            <w:rStyle w:val="Hyperlink"/>
          </w:rPr>
          <w:t>Supplier's Guide | Oxford City Council</w:t>
        </w:r>
      </w:hyperlink>
    </w:p>
    <w:p w14:paraId="62F35B87" w14:textId="77777777" w:rsidR="002875F7" w:rsidRDefault="00F40F83" w:rsidP="007C5C7A">
      <w:pPr>
        <w:pStyle w:val="Heading2"/>
      </w:pPr>
      <w:bookmarkStart w:id="15" w:name="_Toc117766924"/>
      <w:r>
        <w:t>4</w:t>
      </w:r>
      <w:r w:rsidR="00F54A9F">
        <w:t xml:space="preserve">.3 </w:t>
      </w:r>
      <w:r w:rsidR="002875F7">
        <w:t>Key Priorities</w:t>
      </w:r>
      <w:bookmarkEnd w:id="15"/>
    </w:p>
    <w:p w14:paraId="2D0B3604" w14:textId="77777777" w:rsidR="008F5626" w:rsidRPr="00F338F8" w:rsidRDefault="00F338F8" w:rsidP="00F338F8">
      <w:r>
        <w:t>The Head of Financ</w:t>
      </w:r>
      <w:r w:rsidR="00960E7A">
        <w:t xml:space="preserve">ial Services (Section 151 </w:t>
      </w:r>
      <w:r w:rsidR="00EA4C25">
        <w:t>Officer</w:t>
      </w:r>
      <w:r w:rsidR="00960E7A">
        <w:t>)</w:t>
      </w:r>
      <w:r>
        <w:t xml:space="preserve"> and the Procurement Manager will be responsible for the delivery of the Key Priorities as deta</w:t>
      </w:r>
      <w:r w:rsidR="00D96BB7">
        <w:t>iled below and captured in an Action T</w:t>
      </w:r>
      <w:r>
        <w:t xml:space="preserve">racker at appendix </w:t>
      </w:r>
      <w:r w:rsidR="001477EA">
        <w:t>3</w:t>
      </w:r>
      <w:r>
        <w:t>.</w:t>
      </w:r>
    </w:p>
    <w:p w14:paraId="2224077B" w14:textId="77777777" w:rsidR="00FA3FED" w:rsidRPr="00F338F8" w:rsidRDefault="00FA3FED" w:rsidP="00F338F8">
      <w:pPr>
        <w:pStyle w:val="ListParagraph"/>
        <w:numPr>
          <w:ilvl w:val="0"/>
          <w:numId w:val="3"/>
        </w:numPr>
        <w:rPr>
          <w:rFonts w:asciiTheme="minorHAnsi" w:hAnsiTheme="minorHAnsi" w:cstheme="minorHAnsi"/>
          <w:sz w:val="20"/>
          <w:szCs w:val="20"/>
        </w:rPr>
      </w:pPr>
      <w:r w:rsidRPr="00F338F8">
        <w:rPr>
          <w:rFonts w:asciiTheme="minorHAnsi" w:hAnsiTheme="minorHAnsi" w:cstheme="minorHAnsi"/>
          <w:sz w:val="20"/>
          <w:szCs w:val="20"/>
        </w:rPr>
        <w:t>Social value and climate change</w:t>
      </w:r>
    </w:p>
    <w:p w14:paraId="5B3FACDC" w14:textId="77777777" w:rsidR="008F5626" w:rsidRPr="00F338F8" w:rsidRDefault="008F5626" w:rsidP="00F338F8">
      <w:pPr>
        <w:pStyle w:val="ListParagraph"/>
        <w:numPr>
          <w:ilvl w:val="0"/>
          <w:numId w:val="3"/>
        </w:numPr>
        <w:rPr>
          <w:rFonts w:asciiTheme="minorHAnsi" w:hAnsiTheme="minorHAnsi" w:cstheme="minorHAnsi"/>
          <w:sz w:val="20"/>
          <w:szCs w:val="20"/>
        </w:rPr>
      </w:pPr>
      <w:r w:rsidRPr="00F338F8">
        <w:rPr>
          <w:rFonts w:asciiTheme="minorHAnsi" w:hAnsiTheme="minorHAnsi" w:cstheme="minorHAnsi"/>
          <w:sz w:val="20"/>
          <w:szCs w:val="20"/>
        </w:rPr>
        <w:t>Deliver the new procurement Portal</w:t>
      </w:r>
    </w:p>
    <w:p w14:paraId="34D75016" w14:textId="77777777" w:rsidR="008F5626" w:rsidRPr="008C3548" w:rsidRDefault="00FA3FED" w:rsidP="008C3548">
      <w:pPr>
        <w:pStyle w:val="ListParagraph"/>
        <w:numPr>
          <w:ilvl w:val="0"/>
          <w:numId w:val="3"/>
        </w:numPr>
        <w:rPr>
          <w:rFonts w:asciiTheme="minorHAnsi" w:hAnsiTheme="minorHAnsi" w:cstheme="minorHAnsi"/>
          <w:sz w:val="20"/>
          <w:szCs w:val="20"/>
        </w:rPr>
      </w:pPr>
      <w:r w:rsidRPr="008C3548">
        <w:rPr>
          <w:rFonts w:asciiTheme="minorHAnsi" w:hAnsiTheme="minorHAnsi" w:cstheme="minorHAnsi"/>
          <w:sz w:val="20"/>
          <w:szCs w:val="20"/>
        </w:rPr>
        <w:t xml:space="preserve">Collaborative procurement </w:t>
      </w:r>
    </w:p>
    <w:p w14:paraId="43281F81" w14:textId="77777777" w:rsidR="008F5626" w:rsidRPr="008C3548" w:rsidRDefault="008F5626" w:rsidP="008C3548">
      <w:pPr>
        <w:pStyle w:val="ListParagraph"/>
        <w:numPr>
          <w:ilvl w:val="0"/>
          <w:numId w:val="3"/>
        </w:numPr>
        <w:rPr>
          <w:rFonts w:asciiTheme="minorHAnsi" w:hAnsiTheme="minorHAnsi" w:cstheme="minorHAnsi"/>
          <w:sz w:val="20"/>
          <w:szCs w:val="20"/>
        </w:rPr>
      </w:pPr>
      <w:r w:rsidRPr="008C3548">
        <w:rPr>
          <w:rFonts w:asciiTheme="minorHAnsi" w:hAnsiTheme="minorHAnsi" w:cstheme="minorHAnsi"/>
          <w:sz w:val="20"/>
          <w:szCs w:val="20"/>
        </w:rPr>
        <w:t>Constitution review</w:t>
      </w:r>
    </w:p>
    <w:p w14:paraId="754D6496" w14:textId="77777777" w:rsidR="008F5626" w:rsidRPr="00F338F8" w:rsidRDefault="00D96BB7" w:rsidP="00F338F8">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Template document review</w:t>
      </w:r>
    </w:p>
    <w:p w14:paraId="3518CEB2" w14:textId="77777777" w:rsidR="008F5626" w:rsidRPr="00F338F8" w:rsidRDefault="008F5626" w:rsidP="00F338F8">
      <w:pPr>
        <w:pStyle w:val="ListParagraph"/>
        <w:numPr>
          <w:ilvl w:val="0"/>
          <w:numId w:val="3"/>
        </w:numPr>
        <w:rPr>
          <w:rFonts w:asciiTheme="minorHAnsi" w:hAnsiTheme="minorHAnsi" w:cstheme="minorHAnsi"/>
          <w:sz w:val="20"/>
          <w:szCs w:val="20"/>
        </w:rPr>
      </w:pPr>
      <w:r w:rsidRPr="00F338F8">
        <w:rPr>
          <w:rFonts w:asciiTheme="minorHAnsi" w:hAnsiTheme="minorHAnsi" w:cstheme="minorHAnsi"/>
          <w:sz w:val="20"/>
          <w:szCs w:val="20"/>
        </w:rPr>
        <w:t>Deli</w:t>
      </w:r>
      <w:r w:rsidR="00D96BB7">
        <w:rPr>
          <w:rFonts w:asciiTheme="minorHAnsi" w:hAnsiTheme="minorHAnsi" w:cstheme="minorHAnsi"/>
          <w:sz w:val="20"/>
          <w:szCs w:val="20"/>
        </w:rPr>
        <w:t>ver</w:t>
      </w:r>
      <w:r w:rsidRPr="00F338F8">
        <w:rPr>
          <w:rFonts w:asciiTheme="minorHAnsi" w:hAnsiTheme="minorHAnsi" w:cstheme="minorHAnsi"/>
          <w:sz w:val="20"/>
          <w:szCs w:val="20"/>
        </w:rPr>
        <w:t xml:space="preserve"> the new procurement regulations</w:t>
      </w:r>
    </w:p>
    <w:p w14:paraId="13BE546A" w14:textId="77777777" w:rsidR="00D96BB7" w:rsidRDefault="00FA3FED" w:rsidP="00DC0947">
      <w:pPr>
        <w:pStyle w:val="ListParagraph"/>
        <w:numPr>
          <w:ilvl w:val="0"/>
          <w:numId w:val="3"/>
        </w:numPr>
        <w:rPr>
          <w:rFonts w:asciiTheme="minorHAnsi" w:hAnsiTheme="minorHAnsi" w:cstheme="minorHAnsi"/>
          <w:sz w:val="20"/>
          <w:szCs w:val="20"/>
        </w:rPr>
      </w:pPr>
      <w:r w:rsidRPr="00D96BB7">
        <w:rPr>
          <w:rFonts w:asciiTheme="minorHAnsi" w:hAnsiTheme="minorHAnsi" w:cstheme="minorHAnsi"/>
          <w:sz w:val="20"/>
          <w:szCs w:val="20"/>
        </w:rPr>
        <w:t>Commercial focus</w:t>
      </w:r>
    </w:p>
    <w:p w14:paraId="07B92082" w14:textId="77777777" w:rsidR="00D96BB7" w:rsidRDefault="00FA3FED" w:rsidP="00D96BB7">
      <w:pPr>
        <w:pStyle w:val="ListParagraph"/>
        <w:numPr>
          <w:ilvl w:val="0"/>
          <w:numId w:val="3"/>
        </w:numPr>
        <w:rPr>
          <w:rFonts w:asciiTheme="minorHAnsi" w:hAnsiTheme="minorHAnsi" w:cstheme="minorHAnsi"/>
          <w:sz w:val="20"/>
          <w:szCs w:val="20"/>
        </w:rPr>
      </w:pPr>
      <w:r w:rsidRPr="00D96BB7">
        <w:rPr>
          <w:rFonts w:asciiTheme="minorHAnsi" w:hAnsiTheme="minorHAnsi" w:cstheme="minorHAnsi"/>
          <w:sz w:val="20"/>
          <w:szCs w:val="20"/>
        </w:rPr>
        <w:t>Contract Management</w:t>
      </w:r>
    </w:p>
    <w:p w14:paraId="6420BEF7" w14:textId="77777777" w:rsidR="00A72609" w:rsidRPr="00D96BB7" w:rsidRDefault="00A72609" w:rsidP="00D96BB7">
      <w:pPr>
        <w:rPr>
          <w:rFonts w:cstheme="minorHAnsi"/>
        </w:rPr>
      </w:pPr>
    </w:p>
    <w:p w14:paraId="574AFC38" w14:textId="77777777" w:rsidR="002875F7" w:rsidRDefault="00F40F83" w:rsidP="002875F7">
      <w:pPr>
        <w:pStyle w:val="Heading1"/>
        <w:rPr>
          <w:rStyle w:val="IntenseReference"/>
          <w:b w:val="0"/>
          <w:bCs w:val="0"/>
          <w:i w:val="0"/>
          <w:iCs w:val="0"/>
          <w:caps/>
          <w:color w:val="FFFFFF" w:themeColor="background1"/>
        </w:rPr>
      </w:pPr>
      <w:bookmarkStart w:id="16" w:name="_Toc117766925"/>
      <w:r>
        <w:rPr>
          <w:rStyle w:val="IntenseReference"/>
          <w:b w:val="0"/>
          <w:bCs w:val="0"/>
          <w:i w:val="0"/>
          <w:iCs w:val="0"/>
          <w:caps/>
          <w:color w:val="FFFFFF" w:themeColor="background1"/>
        </w:rPr>
        <w:t>5</w:t>
      </w:r>
      <w:r w:rsidR="00EE64C0">
        <w:rPr>
          <w:rStyle w:val="IntenseReference"/>
          <w:b w:val="0"/>
          <w:bCs w:val="0"/>
          <w:i w:val="0"/>
          <w:iCs w:val="0"/>
          <w:caps/>
          <w:color w:val="FFFFFF" w:themeColor="background1"/>
        </w:rPr>
        <w:t xml:space="preserve">. </w:t>
      </w:r>
      <w:r w:rsidR="002875F7" w:rsidRPr="002875F7">
        <w:rPr>
          <w:rStyle w:val="IntenseReference"/>
          <w:b w:val="0"/>
          <w:bCs w:val="0"/>
          <w:i w:val="0"/>
          <w:iCs w:val="0"/>
          <w:caps/>
          <w:color w:val="FFFFFF" w:themeColor="background1"/>
        </w:rPr>
        <w:t>Measuring and Monitoring our Performance</w:t>
      </w:r>
      <w:bookmarkEnd w:id="16"/>
    </w:p>
    <w:p w14:paraId="72BADF29" w14:textId="77777777" w:rsidR="00AF1CD2" w:rsidRDefault="00AF1CD2" w:rsidP="00FA3FED"/>
    <w:p w14:paraId="06101A8A" w14:textId="77777777" w:rsidR="00FA3FED" w:rsidRPr="00FA3FED" w:rsidRDefault="00AF1CD2" w:rsidP="00FA3FED">
      <w:r>
        <w:t>Procurement</w:t>
      </w:r>
      <w:r w:rsidR="00FA3FED">
        <w:t xml:space="preserve"> monitor key indicators linked to </w:t>
      </w:r>
      <w:r>
        <w:t xml:space="preserve">its </w:t>
      </w:r>
      <w:r w:rsidR="00FA3FED">
        <w:t>activity which are tracked over a Financial Year.</w:t>
      </w:r>
    </w:p>
    <w:p w14:paraId="32D6D050" w14:textId="77777777" w:rsidR="002875F7" w:rsidRDefault="00F40F83" w:rsidP="00EE64C0">
      <w:pPr>
        <w:pStyle w:val="Heading2"/>
      </w:pPr>
      <w:bookmarkStart w:id="17" w:name="_Toc117766926"/>
      <w:r>
        <w:t>5</w:t>
      </w:r>
      <w:r w:rsidR="00EE64C0">
        <w:t>.1 Spend</w:t>
      </w:r>
      <w:bookmarkEnd w:id="17"/>
    </w:p>
    <w:p w14:paraId="76025F08" w14:textId="77777777" w:rsidR="00046A56" w:rsidRPr="00DD2156" w:rsidRDefault="00046A56" w:rsidP="00046A56">
      <w:r>
        <w:t>The tables below detail spend for the council</w:t>
      </w:r>
      <w:r w:rsidR="00EA4C25">
        <w:t>, OCHL, ODSL and ODSTL for</w:t>
      </w:r>
      <w:r>
        <w:t xml:space="preserve"> the last 3 financial years (excludes grant payments).</w:t>
      </w:r>
    </w:p>
    <w:tbl>
      <w:tblPr>
        <w:tblStyle w:val="TableGrid"/>
        <w:tblW w:w="0" w:type="auto"/>
        <w:tblLook w:val="04A0" w:firstRow="1" w:lastRow="0" w:firstColumn="1" w:lastColumn="0" w:noHBand="0" w:noVBand="1"/>
      </w:tblPr>
      <w:tblGrid>
        <w:gridCol w:w="2254"/>
        <w:gridCol w:w="2254"/>
        <w:gridCol w:w="2254"/>
        <w:gridCol w:w="2254"/>
      </w:tblGrid>
      <w:tr w:rsidR="00046A56" w14:paraId="4A83BBE3" w14:textId="77777777" w:rsidTr="00046A56">
        <w:tc>
          <w:tcPr>
            <w:tcW w:w="2254" w:type="dxa"/>
            <w:shd w:val="clear" w:color="auto" w:fill="B5C0DF" w:themeFill="accent1" w:themeFillTint="66"/>
          </w:tcPr>
          <w:p w14:paraId="5404AB2B" w14:textId="77777777" w:rsidR="00046A56" w:rsidRDefault="00046A56" w:rsidP="002875F7">
            <w:r>
              <w:t>2019 - 2020</w:t>
            </w:r>
          </w:p>
        </w:tc>
        <w:tc>
          <w:tcPr>
            <w:tcW w:w="2254" w:type="dxa"/>
            <w:shd w:val="clear" w:color="auto" w:fill="B5C0DF" w:themeFill="accent1" w:themeFillTint="66"/>
          </w:tcPr>
          <w:p w14:paraId="522774CD" w14:textId="77777777" w:rsidR="00046A56" w:rsidRDefault="00046A56" w:rsidP="002875F7">
            <w:r>
              <w:t>External Supplier Spend £</w:t>
            </w:r>
          </w:p>
        </w:tc>
        <w:tc>
          <w:tcPr>
            <w:tcW w:w="2254" w:type="dxa"/>
            <w:shd w:val="clear" w:color="auto" w:fill="B5C0DF" w:themeFill="accent1" w:themeFillTint="66"/>
          </w:tcPr>
          <w:p w14:paraId="4EB8B0B1" w14:textId="77777777" w:rsidR="00046A56" w:rsidRDefault="00046A56" w:rsidP="002875F7">
            <w:r>
              <w:t>Inter-OCC Company Spend £</w:t>
            </w:r>
          </w:p>
        </w:tc>
        <w:tc>
          <w:tcPr>
            <w:tcW w:w="2254" w:type="dxa"/>
            <w:shd w:val="clear" w:color="auto" w:fill="B5C0DF" w:themeFill="accent1" w:themeFillTint="66"/>
          </w:tcPr>
          <w:p w14:paraId="1E5F5670" w14:textId="77777777" w:rsidR="00046A56" w:rsidRDefault="00046A56" w:rsidP="002875F7">
            <w:r>
              <w:t>Total Spend £</w:t>
            </w:r>
          </w:p>
        </w:tc>
      </w:tr>
      <w:tr w:rsidR="00046A56" w14:paraId="49C228BC" w14:textId="77777777" w:rsidTr="00046A56">
        <w:tc>
          <w:tcPr>
            <w:tcW w:w="2254" w:type="dxa"/>
          </w:tcPr>
          <w:p w14:paraId="3ACBCBF5" w14:textId="77777777" w:rsidR="00046A56" w:rsidRDefault="00046A56" w:rsidP="002875F7">
            <w:r>
              <w:t>Council Revenue</w:t>
            </w:r>
          </w:p>
        </w:tc>
        <w:tc>
          <w:tcPr>
            <w:tcW w:w="2254" w:type="dxa"/>
          </w:tcPr>
          <w:p w14:paraId="375C3D56" w14:textId="77777777" w:rsidR="00046A56" w:rsidRDefault="00055B9D" w:rsidP="00046A56">
            <w:pPr>
              <w:jc w:val="center"/>
            </w:pPr>
            <w:r>
              <w:t>25,855,523</w:t>
            </w:r>
          </w:p>
        </w:tc>
        <w:tc>
          <w:tcPr>
            <w:tcW w:w="2254" w:type="dxa"/>
          </w:tcPr>
          <w:p w14:paraId="68A9E315" w14:textId="77777777" w:rsidR="00046A56" w:rsidRDefault="00DD42A4" w:rsidP="00046A56">
            <w:pPr>
              <w:jc w:val="center"/>
            </w:pPr>
            <w:r>
              <w:t>25,809,568</w:t>
            </w:r>
          </w:p>
        </w:tc>
        <w:tc>
          <w:tcPr>
            <w:tcW w:w="2254" w:type="dxa"/>
          </w:tcPr>
          <w:p w14:paraId="58798A79" w14:textId="77777777" w:rsidR="00046A56" w:rsidRDefault="00DD42A4" w:rsidP="00046A56">
            <w:pPr>
              <w:jc w:val="center"/>
            </w:pPr>
            <w:r>
              <w:t>51,665,091</w:t>
            </w:r>
          </w:p>
        </w:tc>
      </w:tr>
      <w:tr w:rsidR="00046A56" w14:paraId="0AED8348" w14:textId="77777777" w:rsidTr="00046A56">
        <w:tc>
          <w:tcPr>
            <w:tcW w:w="2254" w:type="dxa"/>
          </w:tcPr>
          <w:p w14:paraId="38A199E7" w14:textId="77777777" w:rsidR="00046A56" w:rsidRDefault="00046A56" w:rsidP="002875F7">
            <w:r>
              <w:t>Council Capital</w:t>
            </w:r>
          </w:p>
        </w:tc>
        <w:tc>
          <w:tcPr>
            <w:tcW w:w="2254" w:type="dxa"/>
          </w:tcPr>
          <w:p w14:paraId="2A99F216" w14:textId="77777777" w:rsidR="00046A56" w:rsidRDefault="00055B9D" w:rsidP="00046A56">
            <w:pPr>
              <w:jc w:val="center"/>
            </w:pPr>
            <w:r>
              <w:t>24,323,642</w:t>
            </w:r>
          </w:p>
        </w:tc>
        <w:tc>
          <w:tcPr>
            <w:tcW w:w="2254" w:type="dxa"/>
          </w:tcPr>
          <w:p w14:paraId="6EE8EE30" w14:textId="77777777" w:rsidR="00046A56" w:rsidRDefault="00DD42A4" w:rsidP="00046A56">
            <w:pPr>
              <w:jc w:val="center"/>
            </w:pPr>
            <w:r>
              <w:t>12,656,805</w:t>
            </w:r>
          </w:p>
        </w:tc>
        <w:tc>
          <w:tcPr>
            <w:tcW w:w="2254" w:type="dxa"/>
          </w:tcPr>
          <w:p w14:paraId="79068A1D" w14:textId="77777777" w:rsidR="00046A56" w:rsidRDefault="00DD42A4" w:rsidP="00046A56">
            <w:pPr>
              <w:jc w:val="center"/>
            </w:pPr>
            <w:r>
              <w:t>36,980,447</w:t>
            </w:r>
          </w:p>
        </w:tc>
      </w:tr>
      <w:tr w:rsidR="00046A56" w14:paraId="0EFA04AF" w14:textId="77777777" w:rsidTr="00046A56">
        <w:tc>
          <w:tcPr>
            <w:tcW w:w="2254" w:type="dxa"/>
          </w:tcPr>
          <w:p w14:paraId="54D227AA" w14:textId="77777777" w:rsidR="00046A56" w:rsidRDefault="00046A56" w:rsidP="002875F7">
            <w:r>
              <w:t>ODSL</w:t>
            </w:r>
          </w:p>
        </w:tc>
        <w:tc>
          <w:tcPr>
            <w:tcW w:w="2254" w:type="dxa"/>
          </w:tcPr>
          <w:p w14:paraId="1D487BAD" w14:textId="77777777" w:rsidR="00046A56" w:rsidRDefault="00055B9D" w:rsidP="00046A56">
            <w:pPr>
              <w:jc w:val="center"/>
            </w:pPr>
            <w:r>
              <w:t>20,774,564</w:t>
            </w:r>
          </w:p>
        </w:tc>
        <w:tc>
          <w:tcPr>
            <w:tcW w:w="2254" w:type="dxa"/>
          </w:tcPr>
          <w:p w14:paraId="00BD6A4D" w14:textId="77777777" w:rsidR="00046A56" w:rsidRDefault="00DD42A4" w:rsidP="00046A56">
            <w:pPr>
              <w:jc w:val="center"/>
            </w:pPr>
            <w:r>
              <w:t>6,026,839</w:t>
            </w:r>
          </w:p>
        </w:tc>
        <w:tc>
          <w:tcPr>
            <w:tcW w:w="2254" w:type="dxa"/>
          </w:tcPr>
          <w:p w14:paraId="7DA3C643" w14:textId="77777777" w:rsidR="00046A56" w:rsidRDefault="00DD42A4" w:rsidP="00046A56">
            <w:pPr>
              <w:jc w:val="center"/>
            </w:pPr>
            <w:r>
              <w:t>26,801,403</w:t>
            </w:r>
          </w:p>
        </w:tc>
      </w:tr>
      <w:tr w:rsidR="00046A56" w14:paraId="5ADFDEBA" w14:textId="77777777" w:rsidTr="00046A56">
        <w:tc>
          <w:tcPr>
            <w:tcW w:w="2254" w:type="dxa"/>
          </w:tcPr>
          <w:p w14:paraId="289274D5" w14:textId="77777777" w:rsidR="00046A56" w:rsidRDefault="00046A56" w:rsidP="002875F7">
            <w:r>
              <w:t>ODSTL</w:t>
            </w:r>
          </w:p>
        </w:tc>
        <w:tc>
          <w:tcPr>
            <w:tcW w:w="2254" w:type="dxa"/>
          </w:tcPr>
          <w:p w14:paraId="1598DF41" w14:textId="77777777" w:rsidR="00046A56" w:rsidRDefault="00055B9D" w:rsidP="00046A56">
            <w:pPr>
              <w:jc w:val="center"/>
            </w:pPr>
            <w:r>
              <w:t>1,294,323</w:t>
            </w:r>
          </w:p>
        </w:tc>
        <w:tc>
          <w:tcPr>
            <w:tcW w:w="2254" w:type="dxa"/>
          </w:tcPr>
          <w:p w14:paraId="24B98C38" w14:textId="77777777" w:rsidR="00046A56" w:rsidRDefault="00DD42A4" w:rsidP="00046A56">
            <w:pPr>
              <w:jc w:val="center"/>
            </w:pPr>
            <w:r>
              <w:t>3,573,116</w:t>
            </w:r>
          </w:p>
        </w:tc>
        <w:tc>
          <w:tcPr>
            <w:tcW w:w="2254" w:type="dxa"/>
          </w:tcPr>
          <w:p w14:paraId="7D44FE62" w14:textId="77777777" w:rsidR="00046A56" w:rsidRDefault="00DD42A4" w:rsidP="00007156">
            <w:pPr>
              <w:jc w:val="center"/>
            </w:pPr>
            <w:r>
              <w:t>4,867,4</w:t>
            </w:r>
            <w:r w:rsidR="00007156">
              <w:t>39</w:t>
            </w:r>
          </w:p>
        </w:tc>
      </w:tr>
      <w:tr w:rsidR="00046A56" w14:paraId="42D224E7" w14:textId="77777777" w:rsidTr="00046A56">
        <w:tc>
          <w:tcPr>
            <w:tcW w:w="2254" w:type="dxa"/>
          </w:tcPr>
          <w:p w14:paraId="5970596A" w14:textId="77777777" w:rsidR="00046A56" w:rsidRDefault="00046A56" w:rsidP="002875F7">
            <w:r>
              <w:t>OCHL</w:t>
            </w:r>
          </w:p>
        </w:tc>
        <w:tc>
          <w:tcPr>
            <w:tcW w:w="2254" w:type="dxa"/>
          </w:tcPr>
          <w:p w14:paraId="46231B2A" w14:textId="77777777" w:rsidR="00046A56" w:rsidRDefault="00055B9D" w:rsidP="00046A56">
            <w:pPr>
              <w:jc w:val="center"/>
            </w:pPr>
            <w:r>
              <w:t>7,545,060</w:t>
            </w:r>
          </w:p>
        </w:tc>
        <w:tc>
          <w:tcPr>
            <w:tcW w:w="2254" w:type="dxa"/>
          </w:tcPr>
          <w:p w14:paraId="4BD5E410" w14:textId="77777777" w:rsidR="00046A56" w:rsidRDefault="00DD42A4" w:rsidP="00046A56">
            <w:pPr>
              <w:jc w:val="center"/>
            </w:pPr>
            <w:r>
              <w:t>680,209</w:t>
            </w:r>
          </w:p>
        </w:tc>
        <w:tc>
          <w:tcPr>
            <w:tcW w:w="2254" w:type="dxa"/>
          </w:tcPr>
          <w:p w14:paraId="679B106D" w14:textId="77777777" w:rsidR="00046A56" w:rsidRDefault="00DD42A4" w:rsidP="00046A56">
            <w:pPr>
              <w:jc w:val="center"/>
            </w:pPr>
            <w:r>
              <w:t>8,225,269</w:t>
            </w:r>
          </w:p>
        </w:tc>
      </w:tr>
      <w:tr w:rsidR="00046A56" w14:paraId="67365CFC" w14:textId="77777777" w:rsidTr="00046A56">
        <w:tc>
          <w:tcPr>
            <w:tcW w:w="2254" w:type="dxa"/>
          </w:tcPr>
          <w:p w14:paraId="12DE7CB3" w14:textId="77777777" w:rsidR="00046A56" w:rsidRPr="005F327D" w:rsidRDefault="00046A56" w:rsidP="002875F7">
            <w:pPr>
              <w:rPr>
                <w:b/>
              </w:rPr>
            </w:pPr>
            <w:r w:rsidRPr="005F327D">
              <w:rPr>
                <w:b/>
              </w:rPr>
              <w:t>Total</w:t>
            </w:r>
          </w:p>
        </w:tc>
        <w:tc>
          <w:tcPr>
            <w:tcW w:w="2254" w:type="dxa"/>
          </w:tcPr>
          <w:p w14:paraId="7C629D24" w14:textId="77777777" w:rsidR="00046A56" w:rsidRPr="005F327D" w:rsidRDefault="00055B9D" w:rsidP="00046A56">
            <w:pPr>
              <w:jc w:val="center"/>
              <w:rPr>
                <w:b/>
              </w:rPr>
            </w:pPr>
            <w:r w:rsidRPr="005F327D">
              <w:rPr>
                <w:b/>
              </w:rPr>
              <w:t>79,793,113</w:t>
            </w:r>
          </w:p>
        </w:tc>
        <w:tc>
          <w:tcPr>
            <w:tcW w:w="2254" w:type="dxa"/>
          </w:tcPr>
          <w:p w14:paraId="6E335E2B" w14:textId="77777777" w:rsidR="00046A56" w:rsidRPr="005F327D" w:rsidRDefault="00DD42A4" w:rsidP="00046A56">
            <w:pPr>
              <w:jc w:val="center"/>
              <w:rPr>
                <w:b/>
              </w:rPr>
            </w:pPr>
            <w:r w:rsidRPr="005F327D">
              <w:rPr>
                <w:b/>
              </w:rPr>
              <w:t>48,746,537</w:t>
            </w:r>
          </w:p>
        </w:tc>
        <w:tc>
          <w:tcPr>
            <w:tcW w:w="2254" w:type="dxa"/>
          </w:tcPr>
          <w:p w14:paraId="43B08DA2" w14:textId="77777777" w:rsidR="00046A56" w:rsidRPr="005F327D" w:rsidRDefault="00DD42A4" w:rsidP="00046A56">
            <w:pPr>
              <w:jc w:val="center"/>
              <w:rPr>
                <w:b/>
              </w:rPr>
            </w:pPr>
            <w:r w:rsidRPr="005F327D">
              <w:rPr>
                <w:b/>
              </w:rPr>
              <w:t>128,539,650</w:t>
            </w:r>
          </w:p>
        </w:tc>
      </w:tr>
    </w:tbl>
    <w:p w14:paraId="2B9A2749" w14:textId="77777777" w:rsidR="002875F7" w:rsidRDefault="002875F7" w:rsidP="002875F7"/>
    <w:tbl>
      <w:tblPr>
        <w:tblStyle w:val="TableGrid"/>
        <w:tblW w:w="0" w:type="auto"/>
        <w:tblLook w:val="04A0" w:firstRow="1" w:lastRow="0" w:firstColumn="1" w:lastColumn="0" w:noHBand="0" w:noVBand="1"/>
      </w:tblPr>
      <w:tblGrid>
        <w:gridCol w:w="2254"/>
        <w:gridCol w:w="2254"/>
        <w:gridCol w:w="2254"/>
        <w:gridCol w:w="2254"/>
      </w:tblGrid>
      <w:tr w:rsidR="00046A56" w14:paraId="3587A154" w14:textId="77777777" w:rsidTr="00046A56">
        <w:tc>
          <w:tcPr>
            <w:tcW w:w="2254" w:type="dxa"/>
            <w:shd w:val="clear" w:color="auto" w:fill="B5C0DF" w:themeFill="accent1" w:themeFillTint="66"/>
          </w:tcPr>
          <w:p w14:paraId="53E1D909" w14:textId="77777777" w:rsidR="00046A56" w:rsidRDefault="00046A56" w:rsidP="00046A56">
            <w:r>
              <w:t>2020 - 2021</w:t>
            </w:r>
          </w:p>
        </w:tc>
        <w:tc>
          <w:tcPr>
            <w:tcW w:w="2254" w:type="dxa"/>
            <w:shd w:val="clear" w:color="auto" w:fill="B5C0DF" w:themeFill="accent1" w:themeFillTint="66"/>
          </w:tcPr>
          <w:p w14:paraId="1A500CFB" w14:textId="77777777" w:rsidR="00046A56" w:rsidRDefault="00046A56" w:rsidP="00027556">
            <w:r>
              <w:t>External Supplier Spend £</w:t>
            </w:r>
          </w:p>
        </w:tc>
        <w:tc>
          <w:tcPr>
            <w:tcW w:w="2254" w:type="dxa"/>
            <w:shd w:val="clear" w:color="auto" w:fill="B5C0DF" w:themeFill="accent1" w:themeFillTint="66"/>
          </w:tcPr>
          <w:p w14:paraId="0C0EC371" w14:textId="77777777" w:rsidR="00046A56" w:rsidRDefault="00046A56" w:rsidP="00027556">
            <w:r>
              <w:t>Inter-OCC Company Spend £</w:t>
            </w:r>
          </w:p>
        </w:tc>
        <w:tc>
          <w:tcPr>
            <w:tcW w:w="2254" w:type="dxa"/>
            <w:shd w:val="clear" w:color="auto" w:fill="B5C0DF" w:themeFill="accent1" w:themeFillTint="66"/>
          </w:tcPr>
          <w:p w14:paraId="2D6C79C1" w14:textId="77777777" w:rsidR="00046A56" w:rsidRDefault="00046A56" w:rsidP="00027556">
            <w:r>
              <w:t>Total Spend £</w:t>
            </w:r>
          </w:p>
        </w:tc>
      </w:tr>
      <w:tr w:rsidR="00046A56" w14:paraId="6689E544" w14:textId="77777777" w:rsidTr="00027556">
        <w:tc>
          <w:tcPr>
            <w:tcW w:w="2254" w:type="dxa"/>
          </w:tcPr>
          <w:p w14:paraId="2F44E08B" w14:textId="77777777" w:rsidR="00046A56" w:rsidRDefault="00046A56" w:rsidP="00027556">
            <w:r>
              <w:t>Council Revenue</w:t>
            </w:r>
          </w:p>
        </w:tc>
        <w:tc>
          <w:tcPr>
            <w:tcW w:w="2254" w:type="dxa"/>
          </w:tcPr>
          <w:p w14:paraId="006703D9" w14:textId="77777777" w:rsidR="00046A56" w:rsidRPr="00DA5A61" w:rsidRDefault="005F327D" w:rsidP="005F327D">
            <w:pPr>
              <w:jc w:val="center"/>
            </w:pPr>
            <w:r w:rsidRPr="00DA5A61">
              <w:rPr>
                <w:rFonts w:ascii="Calibri" w:hAnsi="Calibri" w:cs="Calibri"/>
                <w:lang w:eastAsia="en-GB"/>
              </w:rPr>
              <w:t>23,740,526</w:t>
            </w:r>
          </w:p>
        </w:tc>
        <w:tc>
          <w:tcPr>
            <w:tcW w:w="2254" w:type="dxa"/>
          </w:tcPr>
          <w:p w14:paraId="0B0B5D06" w14:textId="77777777" w:rsidR="00046A56" w:rsidRPr="00DA5A61" w:rsidRDefault="005F327D" w:rsidP="005F327D">
            <w:pPr>
              <w:jc w:val="center"/>
            </w:pPr>
            <w:r w:rsidRPr="00DA5A61">
              <w:rPr>
                <w:rFonts w:ascii="Calibri" w:hAnsi="Calibri" w:cs="Calibri"/>
                <w:lang w:eastAsia="en-GB"/>
              </w:rPr>
              <w:t>24,838,626</w:t>
            </w:r>
          </w:p>
        </w:tc>
        <w:tc>
          <w:tcPr>
            <w:tcW w:w="2254" w:type="dxa"/>
          </w:tcPr>
          <w:p w14:paraId="4DFC63B5" w14:textId="77777777" w:rsidR="00046A56" w:rsidRPr="00DA5A61" w:rsidRDefault="00DA5A61" w:rsidP="005F327D">
            <w:pPr>
              <w:jc w:val="center"/>
            </w:pPr>
            <w:r w:rsidRPr="00DA5A61">
              <w:rPr>
                <w:rFonts w:ascii="Calibri" w:hAnsi="Calibri" w:cs="Calibri"/>
                <w:lang w:eastAsia="en-GB"/>
              </w:rPr>
              <w:t>48,579,151</w:t>
            </w:r>
          </w:p>
        </w:tc>
      </w:tr>
      <w:tr w:rsidR="00046A56" w14:paraId="3734C1BA" w14:textId="77777777" w:rsidTr="00A72609">
        <w:trPr>
          <w:trHeight w:val="179"/>
        </w:trPr>
        <w:tc>
          <w:tcPr>
            <w:tcW w:w="2254" w:type="dxa"/>
          </w:tcPr>
          <w:p w14:paraId="532D6068" w14:textId="77777777" w:rsidR="00046A56" w:rsidRDefault="00046A56" w:rsidP="00027556">
            <w:r>
              <w:t>Council Capital</w:t>
            </w:r>
          </w:p>
        </w:tc>
        <w:tc>
          <w:tcPr>
            <w:tcW w:w="2254" w:type="dxa"/>
          </w:tcPr>
          <w:p w14:paraId="0ED8558B" w14:textId="77777777" w:rsidR="00046A56" w:rsidRPr="00DA5A61" w:rsidRDefault="005F327D" w:rsidP="005F327D">
            <w:pPr>
              <w:jc w:val="center"/>
            </w:pPr>
            <w:r w:rsidRPr="00DA5A61">
              <w:rPr>
                <w:rFonts w:ascii="Calibri" w:hAnsi="Calibri" w:cs="Calibri"/>
                <w:lang w:eastAsia="en-GB"/>
              </w:rPr>
              <w:t>49,511,672</w:t>
            </w:r>
          </w:p>
        </w:tc>
        <w:tc>
          <w:tcPr>
            <w:tcW w:w="2254" w:type="dxa"/>
          </w:tcPr>
          <w:p w14:paraId="1C566E38" w14:textId="77777777" w:rsidR="00046A56" w:rsidRPr="00DA5A61" w:rsidRDefault="005F327D" w:rsidP="005F327D">
            <w:pPr>
              <w:jc w:val="center"/>
            </w:pPr>
            <w:r w:rsidRPr="00DA5A61">
              <w:rPr>
                <w:rFonts w:ascii="Calibri" w:hAnsi="Calibri" w:cs="Calibri"/>
                <w:lang w:eastAsia="en-GB"/>
              </w:rPr>
              <w:t>4,935,125</w:t>
            </w:r>
          </w:p>
        </w:tc>
        <w:tc>
          <w:tcPr>
            <w:tcW w:w="2254" w:type="dxa"/>
          </w:tcPr>
          <w:p w14:paraId="3ACF2114" w14:textId="77777777" w:rsidR="00046A56" w:rsidRPr="00DA5A61" w:rsidRDefault="00DA5A61" w:rsidP="005F327D">
            <w:pPr>
              <w:jc w:val="center"/>
            </w:pPr>
            <w:r w:rsidRPr="00512AFE">
              <w:rPr>
                <w:rFonts w:ascii="Calibri" w:hAnsi="Calibri" w:cs="Calibri"/>
                <w:lang w:eastAsia="en-GB"/>
              </w:rPr>
              <w:t>54,446,79</w:t>
            </w:r>
            <w:r w:rsidR="00512AFE" w:rsidRPr="00512AFE">
              <w:rPr>
                <w:rFonts w:ascii="Calibri" w:hAnsi="Calibri" w:cs="Calibri"/>
                <w:lang w:eastAsia="en-GB"/>
              </w:rPr>
              <w:t>6</w:t>
            </w:r>
          </w:p>
        </w:tc>
      </w:tr>
      <w:tr w:rsidR="00046A56" w14:paraId="297B5357" w14:textId="77777777" w:rsidTr="00027556">
        <w:tc>
          <w:tcPr>
            <w:tcW w:w="2254" w:type="dxa"/>
          </w:tcPr>
          <w:p w14:paraId="7DF8BEA7" w14:textId="77777777" w:rsidR="00046A56" w:rsidRDefault="00046A56" w:rsidP="00027556">
            <w:r>
              <w:t>ODSL</w:t>
            </w:r>
          </w:p>
        </w:tc>
        <w:tc>
          <w:tcPr>
            <w:tcW w:w="2254" w:type="dxa"/>
          </w:tcPr>
          <w:p w14:paraId="4AB714D0" w14:textId="77777777" w:rsidR="00046A56" w:rsidRPr="00DA5A61" w:rsidRDefault="005F327D" w:rsidP="005F327D">
            <w:pPr>
              <w:jc w:val="center"/>
            </w:pPr>
            <w:r w:rsidRPr="00DA5A61">
              <w:rPr>
                <w:rFonts w:ascii="Calibri" w:hAnsi="Calibri" w:cs="Calibri"/>
                <w:lang w:eastAsia="en-GB"/>
              </w:rPr>
              <w:t>23,225,606</w:t>
            </w:r>
          </w:p>
        </w:tc>
        <w:tc>
          <w:tcPr>
            <w:tcW w:w="2254" w:type="dxa"/>
          </w:tcPr>
          <w:p w14:paraId="6CA64B0C" w14:textId="77777777" w:rsidR="00046A56" w:rsidRPr="00DA5A61" w:rsidRDefault="005F327D" w:rsidP="005F327D">
            <w:pPr>
              <w:jc w:val="center"/>
            </w:pPr>
            <w:r w:rsidRPr="00DA5A61">
              <w:rPr>
                <w:rFonts w:ascii="Calibri" w:hAnsi="Calibri" w:cs="Calibri"/>
                <w:lang w:eastAsia="en-GB"/>
              </w:rPr>
              <w:t>6,305,09</w:t>
            </w:r>
            <w:r w:rsidR="002168B7">
              <w:rPr>
                <w:rFonts w:ascii="Calibri" w:hAnsi="Calibri" w:cs="Calibri"/>
                <w:lang w:eastAsia="en-GB"/>
              </w:rPr>
              <w:t>3</w:t>
            </w:r>
          </w:p>
        </w:tc>
        <w:tc>
          <w:tcPr>
            <w:tcW w:w="2254" w:type="dxa"/>
          </w:tcPr>
          <w:p w14:paraId="429A033F" w14:textId="77777777" w:rsidR="00046A56" w:rsidRPr="00DA5A61" w:rsidRDefault="00DA5A61" w:rsidP="005F327D">
            <w:pPr>
              <w:jc w:val="center"/>
            </w:pPr>
            <w:r w:rsidRPr="00DA5A61">
              <w:rPr>
                <w:rFonts w:ascii="Calibri" w:hAnsi="Calibri" w:cs="Calibri"/>
                <w:lang w:eastAsia="en-GB"/>
              </w:rPr>
              <w:t>29,530,699</w:t>
            </w:r>
          </w:p>
        </w:tc>
      </w:tr>
      <w:tr w:rsidR="00046A56" w14:paraId="285A420E" w14:textId="77777777" w:rsidTr="00027556">
        <w:tc>
          <w:tcPr>
            <w:tcW w:w="2254" w:type="dxa"/>
          </w:tcPr>
          <w:p w14:paraId="7B390712" w14:textId="77777777" w:rsidR="00046A56" w:rsidRDefault="00046A56" w:rsidP="00027556">
            <w:r>
              <w:t>ODSTL</w:t>
            </w:r>
          </w:p>
        </w:tc>
        <w:tc>
          <w:tcPr>
            <w:tcW w:w="2254" w:type="dxa"/>
          </w:tcPr>
          <w:p w14:paraId="55D12EE8" w14:textId="77777777" w:rsidR="00046A56" w:rsidRPr="00DA5A61" w:rsidRDefault="005F327D" w:rsidP="005F327D">
            <w:pPr>
              <w:jc w:val="center"/>
            </w:pPr>
            <w:r w:rsidRPr="00DA5A61">
              <w:rPr>
                <w:rFonts w:ascii="Calibri" w:hAnsi="Calibri" w:cs="Calibri"/>
                <w:lang w:eastAsia="en-GB"/>
              </w:rPr>
              <w:t>574,73</w:t>
            </w:r>
            <w:r w:rsidR="002168B7">
              <w:rPr>
                <w:rFonts w:ascii="Calibri" w:hAnsi="Calibri" w:cs="Calibri"/>
                <w:lang w:eastAsia="en-GB"/>
              </w:rPr>
              <w:t>0</w:t>
            </w:r>
          </w:p>
        </w:tc>
        <w:tc>
          <w:tcPr>
            <w:tcW w:w="2254" w:type="dxa"/>
          </w:tcPr>
          <w:p w14:paraId="55014D60" w14:textId="77777777" w:rsidR="00046A56" w:rsidRPr="00DA5A61" w:rsidRDefault="005F327D" w:rsidP="005F327D">
            <w:pPr>
              <w:jc w:val="center"/>
            </w:pPr>
            <w:r w:rsidRPr="00DA5A61">
              <w:rPr>
                <w:rFonts w:ascii="Calibri" w:hAnsi="Calibri" w:cs="Calibri"/>
                <w:lang w:eastAsia="en-GB"/>
              </w:rPr>
              <w:t>2,415,033</w:t>
            </w:r>
          </w:p>
        </w:tc>
        <w:tc>
          <w:tcPr>
            <w:tcW w:w="2254" w:type="dxa"/>
          </w:tcPr>
          <w:p w14:paraId="2E024693" w14:textId="77777777" w:rsidR="00046A56" w:rsidRPr="00DA5A61" w:rsidRDefault="00DA5A61" w:rsidP="005F327D">
            <w:pPr>
              <w:jc w:val="center"/>
            </w:pPr>
            <w:r w:rsidRPr="00DA5A61">
              <w:rPr>
                <w:rFonts w:ascii="Calibri" w:hAnsi="Calibri" w:cs="Calibri"/>
                <w:lang w:eastAsia="en-GB"/>
              </w:rPr>
              <w:t>2,989,763</w:t>
            </w:r>
          </w:p>
        </w:tc>
      </w:tr>
      <w:tr w:rsidR="00046A56" w14:paraId="5EFED9DE" w14:textId="77777777" w:rsidTr="00027556">
        <w:tc>
          <w:tcPr>
            <w:tcW w:w="2254" w:type="dxa"/>
          </w:tcPr>
          <w:p w14:paraId="29A4E5F5" w14:textId="77777777" w:rsidR="00046A56" w:rsidRDefault="00046A56" w:rsidP="00027556">
            <w:r>
              <w:t>OCHL</w:t>
            </w:r>
          </w:p>
        </w:tc>
        <w:tc>
          <w:tcPr>
            <w:tcW w:w="2254" w:type="dxa"/>
          </w:tcPr>
          <w:p w14:paraId="3616BDCC" w14:textId="77777777" w:rsidR="00046A56" w:rsidRPr="00DA5A61" w:rsidRDefault="005F327D" w:rsidP="005F327D">
            <w:pPr>
              <w:jc w:val="center"/>
            </w:pPr>
            <w:r w:rsidRPr="00DA5A61">
              <w:rPr>
                <w:rFonts w:ascii="Calibri" w:hAnsi="Calibri" w:cs="Calibri"/>
                <w:lang w:eastAsia="en-GB"/>
              </w:rPr>
              <w:t>14,098,111</w:t>
            </w:r>
          </w:p>
        </w:tc>
        <w:tc>
          <w:tcPr>
            <w:tcW w:w="2254" w:type="dxa"/>
          </w:tcPr>
          <w:p w14:paraId="217C1420" w14:textId="77777777" w:rsidR="00046A56" w:rsidRPr="00DA5A61" w:rsidRDefault="005F327D" w:rsidP="005F327D">
            <w:pPr>
              <w:jc w:val="center"/>
            </w:pPr>
            <w:r w:rsidRPr="00DA5A61">
              <w:rPr>
                <w:rFonts w:ascii="Calibri" w:hAnsi="Calibri" w:cs="Calibri"/>
                <w:lang w:eastAsia="en-GB"/>
              </w:rPr>
              <w:t>5,764,</w:t>
            </w:r>
            <w:r w:rsidR="002168B7">
              <w:rPr>
                <w:rFonts w:ascii="Calibri" w:hAnsi="Calibri" w:cs="Calibri"/>
                <w:lang w:eastAsia="en-GB"/>
              </w:rPr>
              <w:t>001</w:t>
            </w:r>
          </w:p>
        </w:tc>
        <w:tc>
          <w:tcPr>
            <w:tcW w:w="2254" w:type="dxa"/>
          </w:tcPr>
          <w:p w14:paraId="301CE160" w14:textId="77777777" w:rsidR="00046A56" w:rsidRPr="00DA5A61" w:rsidRDefault="00DA5A61" w:rsidP="005F327D">
            <w:pPr>
              <w:jc w:val="center"/>
            </w:pPr>
            <w:r w:rsidRPr="00DA5A61">
              <w:rPr>
                <w:rFonts w:ascii="Calibri" w:hAnsi="Calibri" w:cs="Calibri"/>
                <w:lang w:eastAsia="en-GB"/>
              </w:rPr>
              <w:t>19,862,112</w:t>
            </w:r>
          </w:p>
        </w:tc>
      </w:tr>
      <w:tr w:rsidR="00046A56" w14:paraId="0E6B540F" w14:textId="77777777" w:rsidTr="00027556">
        <w:tc>
          <w:tcPr>
            <w:tcW w:w="2254" w:type="dxa"/>
          </w:tcPr>
          <w:p w14:paraId="71F90A1D" w14:textId="77777777" w:rsidR="00046A56" w:rsidRPr="005F327D" w:rsidRDefault="00046A56" w:rsidP="00027556">
            <w:pPr>
              <w:rPr>
                <w:b/>
              </w:rPr>
            </w:pPr>
            <w:r w:rsidRPr="005F327D">
              <w:rPr>
                <w:b/>
              </w:rPr>
              <w:t>Total</w:t>
            </w:r>
          </w:p>
        </w:tc>
        <w:tc>
          <w:tcPr>
            <w:tcW w:w="2254" w:type="dxa"/>
          </w:tcPr>
          <w:p w14:paraId="7A05ED06" w14:textId="77777777" w:rsidR="00046A56" w:rsidRPr="00DA5A61" w:rsidRDefault="005F327D" w:rsidP="005F327D">
            <w:pPr>
              <w:jc w:val="center"/>
            </w:pPr>
            <w:r w:rsidRPr="00DA5A61">
              <w:rPr>
                <w:rFonts w:ascii="Calibri" w:hAnsi="Calibri" w:cs="Calibri"/>
                <w:b/>
                <w:bCs/>
                <w:lang w:eastAsia="en-GB"/>
              </w:rPr>
              <w:t>111,150,644</w:t>
            </w:r>
          </w:p>
        </w:tc>
        <w:tc>
          <w:tcPr>
            <w:tcW w:w="2254" w:type="dxa"/>
          </w:tcPr>
          <w:p w14:paraId="5062EDFF" w14:textId="77777777" w:rsidR="00046A56" w:rsidRPr="00DA5A61" w:rsidRDefault="005F327D" w:rsidP="005F327D">
            <w:pPr>
              <w:jc w:val="center"/>
            </w:pPr>
            <w:r w:rsidRPr="00DA5A61">
              <w:rPr>
                <w:rFonts w:ascii="Calibri" w:hAnsi="Calibri" w:cs="Calibri"/>
                <w:b/>
                <w:bCs/>
                <w:lang w:eastAsia="en-GB"/>
              </w:rPr>
              <w:t>44,257,878</w:t>
            </w:r>
          </w:p>
        </w:tc>
        <w:tc>
          <w:tcPr>
            <w:tcW w:w="2254" w:type="dxa"/>
          </w:tcPr>
          <w:p w14:paraId="7E514259" w14:textId="77777777" w:rsidR="00046A56" w:rsidRPr="00DA5A61" w:rsidRDefault="00DA5A61" w:rsidP="005F327D">
            <w:pPr>
              <w:jc w:val="center"/>
            </w:pPr>
            <w:r w:rsidRPr="00DA5A61">
              <w:rPr>
                <w:rFonts w:ascii="Calibri" w:hAnsi="Calibri" w:cs="Calibri"/>
                <w:b/>
                <w:bCs/>
                <w:lang w:eastAsia="en-GB"/>
              </w:rPr>
              <w:t>155,408,522</w:t>
            </w:r>
          </w:p>
        </w:tc>
      </w:tr>
    </w:tbl>
    <w:p w14:paraId="46848383" w14:textId="77777777" w:rsidR="00046A56" w:rsidRDefault="00046A56" w:rsidP="002875F7"/>
    <w:tbl>
      <w:tblPr>
        <w:tblStyle w:val="TableGrid"/>
        <w:tblW w:w="0" w:type="auto"/>
        <w:tblLook w:val="04A0" w:firstRow="1" w:lastRow="0" w:firstColumn="1" w:lastColumn="0" w:noHBand="0" w:noVBand="1"/>
      </w:tblPr>
      <w:tblGrid>
        <w:gridCol w:w="2254"/>
        <w:gridCol w:w="2254"/>
        <w:gridCol w:w="2254"/>
        <w:gridCol w:w="2254"/>
      </w:tblGrid>
      <w:tr w:rsidR="00046A56" w14:paraId="728602C5" w14:textId="77777777" w:rsidTr="00046A56">
        <w:tc>
          <w:tcPr>
            <w:tcW w:w="2254" w:type="dxa"/>
            <w:shd w:val="clear" w:color="auto" w:fill="B5C0DF" w:themeFill="accent1" w:themeFillTint="66"/>
          </w:tcPr>
          <w:p w14:paraId="64B61E0A" w14:textId="77777777" w:rsidR="00046A56" w:rsidRDefault="00046A56" w:rsidP="00046A56">
            <w:r>
              <w:t>2021 - 2022</w:t>
            </w:r>
          </w:p>
        </w:tc>
        <w:tc>
          <w:tcPr>
            <w:tcW w:w="2254" w:type="dxa"/>
            <w:shd w:val="clear" w:color="auto" w:fill="B5C0DF" w:themeFill="accent1" w:themeFillTint="66"/>
          </w:tcPr>
          <w:p w14:paraId="39AB6397" w14:textId="77777777" w:rsidR="00046A56" w:rsidRDefault="00046A56" w:rsidP="00027556">
            <w:r>
              <w:t>External Supplier Spend £</w:t>
            </w:r>
          </w:p>
        </w:tc>
        <w:tc>
          <w:tcPr>
            <w:tcW w:w="2254" w:type="dxa"/>
            <w:shd w:val="clear" w:color="auto" w:fill="B5C0DF" w:themeFill="accent1" w:themeFillTint="66"/>
          </w:tcPr>
          <w:p w14:paraId="7F18584A" w14:textId="77777777" w:rsidR="00046A56" w:rsidRDefault="00046A56" w:rsidP="00027556">
            <w:r>
              <w:t>Inter-OCC Company Spend £</w:t>
            </w:r>
          </w:p>
        </w:tc>
        <w:tc>
          <w:tcPr>
            <w:tcW w:w="2254" w:type="dxa"/>
            <w:shd w:val="clear" w:color="auto" w:fill="B5C0DF" w:themeFill="accent1" w:themeFillTint="66"/>
          </w:tcPr>
          <w:p w14:paraId="6400172D" w14:textId="77777777" w:rsidR="00046A56" w:rsidRDefault="00046A56" w:rsidP="00027556">
            <w:r>
              <w:t>Total Spend £</w:t>
            </w:r>
          </w:p>
        </w:tc>
      </w:tr>
      <w:tr w:rsidR="00046A56" w14:paraId="16445564" w14:textId="77777777" w:rsidTr="00027556">
        <w:tc>
          <w:tcPr>
            <w:tcW w:w="2254" w:type="dxa"/>
          </w:tcPr>
          <w:p w14:paraId="1A252F36" w14:textId="77777777" w:rsidR="00046A56" w:rsidRDefault="00046A56" w:rsidP="00027556">
            <w:r>
              <w:t>Council Revenue</w:t>
            </w:r>
          </w:p>
        </w:tc>
        <w:tc>
          <w:tcPr>
            <w:tcW w:w="2254" w:type="dxa"/>
          </w:tcPr>
          <w:p w14:paraId="1F90F6F9" w14:textId="77777777" w:rsidR="00046A56" w:rsidRDefault="00DA5A61" w:rsidP="00DA5A61">
            <w:pPr>
              <w:jc w:val="center"/>
            </w:pPr>
            <w:r>
              <w:t>31,499,484</w:t>
            </w:r>
          </w:p>
        </w:tc>
        <w:tc>
          <w:tcPr>
            <w:tcW w:w="2254" w:type="dxa"/>
          </w:tcPr>
          <w:p w14:paraId="175F6575" w14:textId="77777777" w:rsidR="00046A56" w:rsidRDefault="00DA5A61" w:rsidP="00DA5A61">
            <w:pPr>
              <w:jc w:val="center"/>
            </w:pPr>
            <w:r>
              <w:t>36,948,453</w:t>
            </w:r>
          </w:p>
        </w:tc>
        <w:tc>
          <w:tcPr>
            <w:tcW w:w="2254" w:type="dxa"/>
          </w:tcPr>
          <w:p w14:paraId="41C3F96B" w14:textId="77777777" w:rsidR="00046A56" w:rsidRDefault="00007156" w:rsidP="00DA5A61">
            <w:pPr>
              <w:jc w:val="center"/>
            </w:pPr>
            <w:r>
              <w:t>68,447,937</w:t>
            </w:r>
          </w:p>
        </w:tc>
      </w:tr>
      <w:tr w:rsidR="00046A56" w14:paraId="3A5CB666" w14:textId="77777777" w:rsidTr="00027556">
        <w:tc>
          <w:tcPr>
            <w:tcW w:w="2254" w:type="dxa"/>
          </w:tcPr>
          <w:p w14:paraId="568C96CC" w14:textId="77777777" w:rsidR="00046A56" w:rsidRDefault="00046A56" w:rsidP="00027556">
            <w:r>
              <w:t>Council Capital</w:t>
            </w:r>
          </w:p>
        </w:tc>
        <w:tc>
          <w:tcPr>
            <w:tcW w:w="2254" w:type="dxa"/>
          </w:tcPr>
          <w:p w14:paraId="6A81F629" w14:textId="77777777" w:rsidR="00046A56" w:rsidRDefault="00DA5A61" w:rsidP="00DA5A61">
            <w:pPr>
              <w:jc w:val="center"/>
            </w:pPr>
            <w:r>
              <w:t>62,269,858</w:t>
            </w:r>
          </w:p>
        </w:tc>
        <w:tc>
          <w:tcPr>
            <w:tcW w:w="2254" w:type="dxa"/>
          </w:tcPr>
          <w:p w14:paraId="16CD6BDF" w14:textId="77777777" w:rsidR="00046A56" w:rsidRDefault="00DA5A61" w:rsidP="00DA5A61">
            <w:pPr>
              <w:jc w:val="center"/>
            </w:pPr>
            <w:r>
              <w:t>8,576,557</w:t>
            </w:r>
          </w:p>
        </w:tc>
        <w:tc>
          <w:tcPr>
            <w:tcW w:w="2254" w:type="dxa"/>
          </w:tcPr>
          <w:p w14:paraId="61B00FD8" w14:textId="77777777" w:rsidR="00046A56" w:rsidRDefault="00007156" w:rsidP="00DA5A61">
            <w:pPr>
              <w:jc w:val="center"/>
            </w:pPr>
            <w:r>
              <w:t>70,846,414</w:t>
            </w:r>
          </w:p>
        </w:tc>
      </w:tr>
      <w:tr w:rsidR="00046A56" w14:paraId="4CC53F4B" w14:textId="77777777" w:rsidTr="00027556">
        <w:tc>
          <w:tcPr>
            <w:tcW w:w="2254" w:type="dxa"/>
          </w:tcPr>
          <w:p w14:paraId="11CE343C" w14:textId="77777777" w:rsidR="00046A56" w:rsidRDefault="00046A56" w:rsidP="00027556">
            <w:r>
              <w:t>ODSL</w:t>
            </w:r>
          </w:p>
        </w:tc>
        <w:tc>
          <w:tcPr>
            <w:tcW w:w="2254" w:type="dxa"/>
          </w:tcPr>
          <w:p w14:paraId="2EB698B8" w14:textId="77777777" w:rsidR="00046A56" w:rsidRDefault="00DA5A61" w:rsidP="00DA5A61">
            <w:pPr>
              <w:jc w:val="center"/>
            </w:pPr>
            <w:r>
              <w:t>7,629,735</w:t>
            </w:r>
          </w:p>
        </w:tc>
        <w:tc>
          <w:tcPr>
            <w:tcW w:w="2254" w:type="dxa"/>
          </w:tcPr>
          <w:p w14:paraId="2E0DAA27" w14:textId="77777777" w:rsidR="00046A56" w:rsidRDefault="00DA5A61" w:rsidP="00DA5A61">
            <w:pPr>
              <w:jc w:val="center"/>
            </w:pPr>
            <w:r>
              <w:t>4,473,456</w:t>
            </w:r>
          </w:p>
        </w:tc>
        <w:tc>
          <w:tcPr>
            <w:tcW w:w="2254" w:type="dxa"/>
          </w:tcPr>
          <w:p w14:paraId="5D4575CE" w14:textId="77777777" w:rsidR="00046A56" w:rsidRDefault="00007156" w:rsidP="00DA5A61">
            <w:pPr>
              <w:jc w:val="center"/>
            </w:pPr>
            <w:r>
              <w:t>12,103,191</w:t>
            </w:r>
          </w:p>
        </w:tc>
      </w:tr>
      <w:tr w:rsidR="00046A56" w14:paraId="1CDBE005" w14:textId="77777777" w:rsidTr="00027556">
        <w:tc>
          <w:tcPr>
            <w:tcW w:w="2254" w:type="dxa"/>
          </w:tcPr>
          <w:p w14:paraId="461A09D2" w14:textId="77777777" w:rsidR="00046A56" w:rsidRDefault="00046A56" w:rsidP="00027556">
            <w:r>
              <w:t>ODSTL</w:t>
            </w:r>
          </w:p>
        </w:tc>
        <w:tc>
          <w:tcPr>
            <w:tcW w:w="2254" w:type="dxa"/>
          </w:tcPr>
          <w:p w14:paraId="6FF79481" w14:textId="77777777" w:rsidR="00046A56" w:rsidRDefault="00DA5A61" w:rsidP="00DA5A61">
            <w:pPr>
              <w:jc w:val="center"/>
            </w:pPr>
            <w:r>
              <w:t>1,213,044</w:t>
            </w:r>
          </w:p>
        </w:tc>
        <w:tc>
          <w:tcPr>
            <w:tcW w:w="2254" w:type="dxa"/>
          </w:tcPr>
          <w:p w14:paraId="08090331" w14:textId="77777777" w:rsidR="00046A56" w:rsidRDefault="00DA5A61" w:rsidP="00DA5A61">
            <w:pPr>
              <w:jc w:val="center"/>
            </w:pPr>
            <w:r>
              <w:t>191,131</w:t>
            </w:r>
          </w:p>
        </w:tc>
        <w:tc>
          <w:tcPr>
            <w:tcW w:w="2254" w:type="dxa"/>
          </w:tcPr>
          <w:p w14:paraId="5CCC18AF" w14:textId="77777777" w:rsidR="00046A56" w:rsidRDefault="00007156" w:rsidP="00DA5A61">
            <w:pPr>
              <w:jc w:val="center"/>
            </w:pPr>
            <w:r>
              <w:t>1,404,175</w:t>
            </w:r>
          </w:p>
        </w:tc>
      </w:tr>
      <w:tr w:rsidR="00046A56" w14:paraId="701EFD68" w14:textId="77777777" w:rsidTr="00027556">
        <w:tc>
          <w:tcPr>
            <w:tcW w:w="2254" w:type="dxa"/>
          </w:tcPr>
          <w:p w14:paraId="3A2DEF9E" w14:textId="77777777" w:rsidR="00046A56" w:rsidRDefault="00046A56" w:rsidP="00027556">
            <w:r>
              <w:t>OCHL</w:t>
            </w:r>
          </w:p>
        </w:tc>
        <w:tc>
          <w:tcPr>
            <w:tcW w:w="2254" w:type="dxa"/>
          </w:tcPr>
          <w:p w14:paraId="0F4E4509" w14:textId="77777777" w:rsidR="00046A56" w:rsidRDefault="00DA5A61" w:rsidP="00DA5A61">
            <w:pPr>
              <w:jc w:val="center"/>
            </w:pPr>
            <w:r>
              <w:t>14,359,303</w:t>
            </w:r>
          </w:p>
        </w:tc>
        <w:tc>
          <w:tcPr>
            <w:tcW w:w="2254" w:type="dxa"/>
          </w:tcPr>
          <w:p w14:paraId="48BB2C6E" w14:textId="77777777" w:rsidR="00046A56" w:rsidRDefault="00DA5A61" w:rsidP="00DA5A61">
            <w:pPr>
              <w:jc w:val="center"/>
            </w:pPr>
            <w:r>
              <w:t>781,111</w:t>
            </w:r>
          </w:p>
        </w:tc>
        <w:tc>
          <w:tcPr>
            <w:tcW w:w="2254" w:type="dxa"/>
          </w:tcPr>
          <w:p w14:paraId="4FA460B6" w14:textId="77777777" w:rsidR="00046A56" w:rsidRDefault="00007156" w:rsidP="00DA5A61">
            <w:pPr>
              <w:jc w:val="center"/>
            </w:pPr>
            <w:r>
              <w:t>15,140,414</w:t>
            </w:r>
          </w:p>
        </w:tc>
      </w:tr>
      <w:tr w:rsidR="00046A56" w14:paraId="6C3E5DE4" w14:textId="77777777" w:rsidTr="00027556">
        <w:tc>
          <w:tcPr>
            <w:tcW w:w="2254" w:type="dxa"/>
          </w:tcPr>
          <w:p w14:paraId="6FEC7012" w14:textId="77777777" w:rsidR="00046A56" w:rsidRPr="00DA5A61" w:rsidRDefault="00046A56" w:rsidP="00027556">
            <w:pPr>
              <w:rPr>
                <w:b/>
              </w:rPr>
            </w:pPr>
            <w:r w:rsidRPr="00DA5A61">
              <w:rPr>
                <w:b/>
              </w:rPr>
              <w:t>Total</w:t>
            </w:r>
          </w:p>
        </w:tc>
        <w:tc>
          <w:tcPr>
            <w:tcW w:w="2254" w:type="dxa"/>
          </w:tcPr>
          <w:p w14:paraId="5C9454F4" w14:textId="77777777" w:rsidR="00046A56" w:rsidRPr="00DA5A61" w:rsidRDefault="00DA5A61" w:rsidP="00DA5A61">
            <w:pPr>
              <w:jc w:val="center"/>
              <w:rPr>
                <w:b/>
              </w:rPr>
            </w:pPr>
            <w:r w:rsidRPr="00DA5A61">
              <w:rPr>
                <w:b/>
              </w:rPr>
              <w:t>116,971,424</w:t>
            </w:r>
          </w:p>
        </w:tc>
        <w:tc>
          <w:tcPr>
            <w:tcW w:w="2254" w:type="dxa"/>
          </w:tcPr>
          <w:p w14:paraId="418BFC91" w14:textId="77777777" w:rsidR="00046A56" w:rsidRPr="00DA5A61" w:rsidRDefault="00DA5A61" w:rsidP="00DA5A61">
            <w:pPr>
              <w:jc w:val="center"/>
              <w:rPr>
                <w:b/>
              </w:rPr>
            </w:pPr>
            <w:r>
              <w:rPr>
                <w:b/>
              </w:rPr>
              <w:t>50,970,708</w:t>
            </w:r>
          </w:p>
        </w:tc>
        <w:tc>
          <w:tcPr>
            <w:tcW w:w="2254" w:type="dxa"/>
          </w:tcPr>
          <w:p w14:paraId="32651E0B" w14:textId="77777777" w:rsidR="00046A56" w:rsidRPr="00DA5A61" w:rsidRDefault="00007156" w:rsidP="00DA5A61">
            <w:pPr>
              <w:jc w:val="center"/>
              <w:rPr>
                <w:b/>
              </w:rPr>
            </w:pPr>
            <w:r>
              <w:rPr>
                <w:b/>
              </w:rPr>
              <w:t>167,942,132</w:t>
            </w:r>
          </w:p>
        </w:tc>
      </w:tr>
    </w:tbl>
    <w:p w14:paraId="2FA4E220" w14:textId="77777777" w:rsidR="002875F7" w:rsidRDefault="002875F7" w:rsidP="002875F7"/>
    <w:p w14:paraId="6383A77C" w14:textId="77777777" w:rsidR="00EE64C0" w:rsidRDefault="00F40F83" w:rsidP="00EE64C0">
      <w:pPr>
        <w:pStyle w:val="Heading2"/>
      </w:pPr>
      <w:bookmarkStart w:id="18" w:name="_Toc117766927"/>
      <w:r>
        <w:t>5</w:t>
      </w:r>
      <w:r w:rsidR="00EE64C0">
        <w:t>.2 Local (OX postcode) and SME (Small/Medium Enterprise) Spend</w:t>
      </w:r>
      <w:bookmarkEnd w:id="18"/>
    </w:p>
    <w:p w14:paraId="4CBD3349" w14:textId="77777777" w:rsidR="00A0684F" w:rsidRDefault="00EE64C0" w:rsidP="00EE64C0">
      <w:r>
        <w:t>The following charts illustrate the council’s performance on the utilisation of both local and SME suppliers</w:t>
      </w:r>
      <w:r w:rsidR="00A0684F">
        <w:t>.  These figures are based on the Suppliers recorded on the Contract register rather than performance against spend graphs</w:t>
      </w:r>
      <w:r w:rsidR="00C571B0">
        <w:t xml:space="preserve"> as shown at 5.7</w:t>
      </w:r>
      <w:r w:rsidR="00A0684F">
        <w:t xml:space="preserve">.  SME Suppliers represent 51% of the supplier base with </w:t>
      </w:r>
      <w:r w:rsidR="00A85C7A">
        <w:t>18% of suppliers recorded as local with an OX postcode.</w:t>
      </w:r>
    </w:p>
    <w:p w14:paraId="11655F4C" w14:textId="77777777" w:rsidR="00013A8F" w:rsidRDefault="00013A8F" w:rsidP="00EE64C0">
      <w:r>
        <w:t>The Government has set a target of 33% by 2025 for contractual spend rather than the number of SME suppliers.  A large proportion of the Council spend is with ODS.  ODS are not classed as an SME although indirectly ODS may use suppliers classed as SME’s.</w:t>
      </w:r>
    </w:p>
    <w:p w14:paraId="7905B009" w14:textId="77777777" w:rsidR="00013A8F" w:rsidRDefault="00013A8F" w:rsidP="00EE64C0">
      <w:r>
        <w:t>The Council as part of the Constitution requires that one quotation should be sought from a local supplier when more than one quotation is necessary for a purchase of goods, works or services.</w:t>
      </w:r>
    </w:p>
    <w:p w14:paraId="6A3F49C5" w14:textId="77777777" w:rsidR="00A0684F" w:rsidRDefault="00A0684F" w:rsidP="00EE64C0">
      <w:r>
        <w:rPr>
          <w:noProof/>
          <w:lang w:eastAsia="en-GB"/>
        </w:rPr>
        <w:drawing>
          <wp:inline distT="0" distB="0" distL="0" distR="0" wp14:anchorId="4F6EC00B" wp14:editId="66CA4B86">
            <wp:extent cx="2724150" cy="1739900"/>
            <wp:effectExtent l="0" t="0" r="0"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n-GB"/>
        </w:rPr>
        <w:drawing>
          <wp:inline distT="0" distB="0" distL="0" distR="0" wp14:anchorId="79C0323C" wp14:editId="5D5430D7">
            <wp:extent cx="2692400" cy="1752600"/>
            <wp:effectExtent l="0" t="0" r="1270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FDF830" w14:textId="77777777" w:rsidR="002875F7" w:rsidRDefault="00EE64C0" w:rsidP="002875F7">
      <w:r>
        <w:t xml:space="preserve"> </w:t>
      </w:r>
    </w:p>
    <w:p w14:paraId="6227194F" w14:textId="77777777" w:rsidR="002875F7" w:rsidRDefault="00F40F83" w:rsidP="00E0068B">
      <w:pPr>
        <w:pStyle w:val="Heading2"/>
      </w:pPr>
      <w:bookmarkStart w:id="19" w:name="_Toc117766928"/>
      <w:r>
        <w:t>5</w:t>
      </w:r>
      <w:r w:rsidR="00E0068B">
        <w:t>.3 Contract Register</w:t>
      </w:r>
      <w:r w:rsidR="00F139DD">
        <w:t>_Pipeline</w:t>
      </w:r>
      <w:bookmarkEnd w:id="19"/>
    </w:p>
    <w:p w14:paraId="1102DDAB" w14:textId="77777777" w:rsidR="008C335E" w:rsidRDefault="008C335E" w:rsidP="002875F7">
      <w:r w:rsidRPr="008C335E">
        <w:t>The Contract register</w:t>
      </w:r>
      <w:r w:rsidR="00F139DD">
        <w:t xml:space="preserve"> and Pipeline</w:t>
      </w:r>
      <w:r w:rsidRPr="008C335E">
        <w:t xml:space="preserve"> is managed on a daily basis by the Procurement team providing visibility to enable effective management and proactive </w:t>
      </w:r>
      <w:r>
        <w:t>engagement with stakeholders</w:t>
      </w:r>
      <w:r w:rsidRPr="008C335E">
        <w:t xml:space="preserve"> on contracts.</w:t>
      </w:r>
    </w:p>
    <w:p w14:paraId="35FEA72A" w14:textId="77777777" w:rsidR="00013A8F" w:rsidRDefault="008C335E" w:rsidP="002875F7">
      <w:r>
        <w:t>The following charts detail the on-going work by the procurement team to rationalise the contracts and challenge service areas</w:t>
      </w:r>
      <w:r w:rsidR="00F139DD">
        <w:t xml:space="preserve"> on the contract requirements. </w:t>
      </w:r>
      <w:r w:rsidR="00030339">
        <w:t xml:space="preserve"> There has been a decrease in the number of contracts (688 to 587) even though there has been in increase in the value of the contracts (£140M to £169M)</w:t>
      </w:r>
      <w:r w:rsidR="00960E7A">
        <w:t xml:space="preserve"> over the 12 month period August 2021 to August 2022 as shown below</w:t>
      </w:r>
    </w:p>
    <w:p w14:paraId="055FB906" w14:textId="77777777" w:rsidR="0046012E" w:rsidRDefault="00013A8F" w:rsidP="002875F7">
      <w:r>
        <w:t xml:space="preserve">It is worth noting that most </w:t>
      </w:r>
      <w:r w:rsidR="0046012E">
        <w:t>contracts in</w:t>
      </w:r>
      <w:r>
        <w:t xml:space="preserve"> 2021 were raised by Regeneration and Economy,</w:t>
      </w:r>
      <w:r w:rsidR="0046012E">
        <w:t xml:space="preserve"> followed by Housing and Property, but </w:t>
      </w:r>
      <w:r>
        <w:t xml:space="preserve">with the work on the register and realigning of service areas in 2022 </w:t>
      </w:r>
      <w:r w:rsidR="001477EA">
        <w:t xml:space="preserve">the top service area for contracts </w:t>
      </w:r>
      <w:r>
        <w:t xml:space="preserve">moved to </w:t>
      </w:r>
      <w:r w:rsidR="0046012E">
        <w:t>OCHL followed by Housing Services</w:t>
      </w:r>
    </w:p>
    <w:p w14:paraId="4449C896" w14:textId="77777777" w:rsidR="008C335E" w:rsidRPr="008C335E" w:rsidRDefault="0046012E" w:rsidP="002875F7">
      <w:r>
        <w:t>For fully tendered contracts (in excess of £10,000) the main agreements based on spend are call off orders under a buying organisation Framework</w:t>
      </w:r>
      <w:r w:rsidR="00FE6D34">
        <w:t>,</w:t>
      </w:r>
      <w:r>
        <w:t xml:space="preserve"> for instance Crown Commercial Services.</w:t>
      </w:r>
    </w:p>
    <w:p w14:paraId="5DA0FF2D" w14:textId="77777777" w:rsidR="00E0068B" w:rsidRPr="00D40993" w:rsidRDefault="00E0068B" w:rsidP="002875F7">
      <w:pPr>
        <w:rPr>
          <w:b/>
        </w:rPr>
      </w:pPr>
      <w:r w:rsidRPr="00D40993">
        <w:rPr>
          <w:b/>
        </w:rPr>
        <w:t>August 2021</w:t>
      </w:r>
    </w:p>
    <w:p w14:paraId="046A55A4" w14:textId="77777777" w:rsidR="00E0068B" w:rsidRDefault="00E0068B" w:rsidP="002875F7">
      <w:r w:rsidRPr="00E406A5">
        <w:rPr>
          <w:b/>
          <w:bCs/>
          <w:noProof/>
          <w:color w:val="374C80" w:themeColor="accent1" w:themeShade="BF"/>
          <w:sz w:val="32"/>
          <w:szCs w:val="32"/>
          <w:lang w:eastAsia="en-GB"/>
        </w:rPr>
        <w:drawing>
          <wp:inline distT="0" distB="0" distL="0" distR="0" wp14:anchorId="01E28A7E" wp14:editId="6AE7A3D7">
            <wp:extent cx="5372100" cy="3064767"/>
            <wp:effectExtent l="0" t="0" r="0" b="2540"/>
            <wp:docPr id="6" name="Picture" title="This slide contains the following visuals: textbox, Contract Value, Live Contracts, image, basicShape, ZoomChartsPieChartFree33C9F325D337408C98D4E1D4E1EAD703, ZoomChartsPieChartFree33C9F325D337408C98D4E1D4E1EAD703, Top 10 Departments by Contracts, hundredPercentStackedBarChart, hundredPercentStackedBarChart. Please refer to the notes on this slide for detail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title="This slide contains the following visuals: textbox, Contract Value, Live Contracts, image, basicShape, ZoomChartsPieChartFree33C9F325D337408C98D4E1D4E1EAD703, ZoomChartsPieChartFree33C9F325D337408C98D4E1D4E1EAD703, Top 10 Departments by Contracts, hundredPercentStackedBarChart, hundredPercentStackedBarChart. Please refer to the notes on this slide for details.">
                      <a:hlinkClick r:id="rId16"/>
                    </pic:cNvPr>
                    <pic:cNvPicPr>
                      <a:picLocks noChangeAspect="1"/>
                    </pic:cNvPicPr>
                  </pic:nvPicPr>
                  <pic:blipFill>
                    <a:blip r:embed="rId17"/>
                    <a:stretch>
                      <a:fillRect/>
                    </a:stretch>
                  </pic:blipFill>
                  <pic:spPr>
                    <a:xfrm>
                      <a:off x="0" y="0"/>
                      <a:ext cx="5373574" cy="3065608"/>
                    </a:xfrm>
                    <a:prstGeom prst="rect">
                      <a:avLst/>
                    </a:prstGeom>
                    <a:noFill/>
                  </pic:spPr>
                </pic:pic>
              </a:graphicData>
            </a:graphic>
          </wp:inline>
        </w:drawing>
      </w:r>
    </w:p>
    <w:p w14:paraId="7E642474" w14:textId="77777777" w:rsidR="002875F7" w:rsidRDefault="00E0068B" w:rsidP="002875F7">
      <w:pPr>
        <w:rPr>
          <w:b/>
        </w:rPr>
      </w:pPr>
      <w:r w:rsidRPr="00D40993">
        <w:rPr>
          <w:b/>
        </w:rPr>
        <w:t>August 2022</w:t>
      </w:r>
    </w:p>
    <w:p w14:paraId="62D778F7" w14:textId="77777777" w:rsidR="00030339" w:rsidRPr="00D40993" w:rsidRDefault="00030339" w:rsidP="002875F7">
      <w:pPr>
        <w:rPr>
          <w:b/>
        </w:rPr>
      </w:pPr>
      <w:r w:rsidRPr="00030339">
        <w:rPr>
          <w:b/>
          <w:noProof/>
          <w:lang w:eastAsia="en-GB"/>
        </w:rPr>
        <w:drawing>
          <wp:inline distT="0" distB="0" distL="0" distR="0" wp14:anchorId="5385656B" wp14:editId="3F90A372">
            <wp:extent cx="5372100" cy="302244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7492" cy="3025480"/>
                    </a:xfrm>
                    <a:prstGeom prst="rect">
                      <a:avLst/>
                    </a:prstGeom>
                  </pic:spPr>
                </pic:pic>
              </a:graphicData>
            </a:graphic>
          </wp:inline>
        </w:drawing>
      </w:r>
    </w:p>
    <w:p w14:paraId="7F487B43" w14:textId="77777777" w:rsidR="00E0068B" w:rsidRDefault="00F40F83" w:rsidP="00E0068B">
      <w:pPr>
        <w:pStyle w:val="Heading2"/>
      </w:pPr>
      <w:bookmarkStart w:id="20" w:name="_Toc117766929"/>
      <w:r>
        <w:t>5</w:t>
      </w:r>
      <w:r w:rsidR="00E0068B">
        <w:t>.4 Exemption Requests</w:t>
      </w:r>
      <w:bookmarkEnd w:id="20"/>
    </w:p>
    <w:p w14:paraId="1AADA9E2" w14:textId="77777777" w:rsidR="002875F7" w:rsidRDefault="00411978" w:rsidP="002875F7">
      <w:r>
        <w:t>Service Heads are able to request exemptions from following the procurement process in a limited number of instances including Emergencies and when no competitive market exists (sole supplier). Such requests require authorisation by the Head of Financial Services and where such exemptions are in excess of £100,000 in conjunction with Head of Law and Governance.</w:t>
      </w:r>
    </w:p>
    <w:p w14:paraId="135B165A" w14:textId="77777777" w:rsidR="00411978" w:rsidRDefault="00411978" w:rsidP="002875F7">
      <w:r>
        <w:t xml:space="preserve">The chart below indicates the number of </w:t>
      </w:r>
      <w:r w:rsidR="00C3111B">
        <w:t>exemptions</w:t>
      </w:r>
      <w:r>
        <w:t xml:space="preserve"> over the last 3 years</w:t>
      </w:r>
      <w:r w:rsidR="00C3111B">
        <w:t>.</w:t>
      </w:r>
      <w:r w:rsidR="008B292A">
        <w:t xml:space="preserve"> Procurement have worked with services to reduce the number of requests over the years in an effort to drive more value for money.   </w:t>
      </w:r>
    </w:p>
    <w:p w14:paraId="2875269B" w14:textId="77777777" w:rsidR="00AE393A" w:rsidRDefault="00AE393A" w:rsidP="002875F7">
      <w:r>
        <w:rPr>
          <w:noProof/>
          <w:lang w:eastAsia="en-GB"/>
        </w:rPr>
        <w:drawing>
          <wp:inline distT="0" distB="0" distL="0" distR="0" wp14:anchorId="2ADB23A2" wp14:editId="33F2C1D0">
            <wp:extent cx="3799405" cy="2175979"/>
            <wp:effectExtent l="0" t="0" r="1079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56CCB8" w14:textId="77777777" w:rsidR="002875F7" w:rsidRDefault="00F40F83" w:rsidP="00E0068B">
      <w:pPr>
        <w:pStyle w:val="Heading2"/>
      </w:pPr>
      <w:bookmarkStart w:id="21" w:name="_Toc117766930"/>
      <w:r>
        <w:t>5</w:t>
      </w:r>
      <w:r w:rsidR="00E0068B">
        <w:t>.5 Tenders undertaken</w:t>
      </w:r>
      <w:r w:rsidR="005D7BA9">
        <w:t xml:space="preserve"> via the Procurement Portal</w:t>
      </w:r>
      <w:bookmarkEnd w:id="21"/>
    </w:p>
    <w:p w14:paraId="69F88276" w14:textId="77777777" w:rsidR="00FC3C64" w:rsidRDefault="00F139DD" w:rsidP="002875F7">
      <w:r w:rsidRPr="00F139DD">
        <w:t>Procurement monitor the number and type of procurements run on the Procurement Portal.  There are competitions undertaken outside of the portal which cannot be t</w:t>
      </w:r>
      <w:r>
        <w:t>r</w:t>
      </w:r>
      <w:r w:rsidRPr="00F139DD">
        <w:t>acked due to the devolved nature of the council procurement structure.</w:t>
      </w:r>
      <w:r w:rsidR="00FC3C64">
        <w:t xml:space="preserve">  Those undertaken outside of the portal are generally lower value or call offs from a framework utilising the buying organisations systems.</w:t>
      </w:r>
    </w:p>
    <w:p w14:paraId="7DB1DDFA" w14:textId="77777777" w:rsidR="00F139DD" w:rsidRDefault="00FC3C64" w:rsidP="002875F7">
      <w:r>
        <w:t xml:space="preserve"> There is a Regulatory requirement for electronic tendering and within the Constitution it sets out the requirement to administer quotations and tenders through the Councils portal to ensure uniformity of documentation, template terms and conditions and notifications to the required publications such as FTS (OJEU replacement) and Contracts Finder.  With the current procurement underway for a new Portal offering more opportunities</w:t>
      </w:r>
      <w:r w:rsidR="004D7A99">
        <w:t>,</w:t>
      </w:r>
      <w:r>
        <w:t xml:space="preserve"> its use will be further rolled out to encompass on-line evaluation and contract management.</w:t>
      </w:r>
    </w:p>
    <w:p w14:paraId="2B9DBC5A" w14:textId="77777777" w:rsidR="002963AB" w:rsidRDefault="002963AB" w:rsidP="002875F7">
      <w:r>
        <w:t>In-line with the increase in Council Spend and the decrease in the number of exemptions, the number of competitions run on the portal has increased year on year over the last 3 year period.</w:t>
      </w:r>
    </w:p>
    <w:tbl>
      <w:tblPr>
        <w:tblW w:w="8260" w:type="dxa"/>
        <w:tblInd w:w="-10" w:type="dxa"/>
        <w:tblLook w:val="04A0" w:firstRow="1" w:lastRow="0" w:firstColumn="1" w:lastColumn="0" w:noHBand="0" w:noVBand="1"/>
      </w:tblPr>
      <w:tblGrid>
        <w:gridCol w:w="2740"/>
        <w:gridCol w:w="1840"/>
        <w:gridCol w:w="1840"/>
        <w:gridCol w:w="1840"/>
      </w:tblGrid>
      <w:tr w:rsidR="002963AB" w:rsidRPr="002963AB" w14:paraId="532E02E2" w14:textId="77777777" w:rsidTr="002963AB">
        <w:trPr>
          <w:trHeight w:val="300"/>
        </w:trPr>
        <w:tc>
          <w:tcPr>
            <w:tcW w:w="2740" w:type="dxa"/>
            <w:tcBorders>
              <w:top w:val="single" w:sz="8" w:space="0" w:color="auto"/>
              <w:left w:val="single" w:sz="8" w:space="0" w:color="auto"/>
              <w:bottom w:val="single" w:sz="8" w:space="0" w:color="auto"/>
              <w:right w:val="nil"/>
            </w:tcBorders>
            <w:shd w:val="clear" w:color="000000" w:fill="B5C0DF"/>
            <w:vAlign w:val="center"/>
            <w:hideMark/>
          </w:tcPr>
          <w:p w14:paraId="5D4F9E56"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Type of Competition</w:t>
            </w:r>
          </w:p>
        </w:tc>
        <w:tc>
          <w:tcPr>
            <w:tcW w:w="1840" w:type="dxa"/>
            <w:tcBorders>
              <w:top w:val="single" w:sz="8" w:space="0" w:color="auto"/>
              <w:left w:val="single" w:sz="8" w:space="0" w:color="auto"/>
              <w:bottom w:val="single" w:sz="8" w:space="0" w:color="auto"/>
              <w:right w:val="single" w:sz="4" w:space="0" w:color="auto"/>
            </w:tcBorders>
            <w:shd w:val="clear" w:color="000000" w:fill="B8CCE4"/>
            <w:noWrap/>
            <w:vAlign w:val="bottom"/>
            <w:hideMark/>
          </w:tcPr>
          <w:p w14:paraId="527A3AAF" w14:textId="77777777" w:rsidR="002963AB" w:rsidRPr="002963AB" w:rsidRDefault="002963AB" w:rsidP="002963AB">
            <w:pPr>
              <w:spacing w:before="0" w:after="0" w:line="240" w:lineRule="auto"/>
              <w:rPr>
                <w:rFonts w:ascii="Calibri" w:eastAsia="Times New Roman" w:hAnsi="Calibri" w:cs="Calibri"/>
                <w:sz w:val="22"/>
                <w:szCs w:val="22"/>
                <w:lang w:eastAsia="en-GB"/>
              </w:rPr>
            </w:pPr>
            <w:r w:rsidRPr="002963AB">
              <w:rPr>
                <w:rFonts w:ascii="Calibri" w:eastAsia="Times New Roman" w:hAnsi="Calibri" w:cs="Calibri"/>
                <w:sz w:val="22"/>
                <w:szCs w:val="22"/>
                <w:lang w:eastAsia="en-GB"/>
              </w:rPr>
              <w:t>April 19 - March 20</w:t>
            </w:r>
          </w:p>
        </w:tc>
        <w:tc>
          <w:tcPr>
            <w:tcW w:w="1840" w:type="dxa"/>
            <w:tcBorders>
              <w:top w:val="single" w:sz="8" w:space="0" w:color="auto"/>
              <w:left w:val="nil"/>
              <w:bottom w:val="single" w:sz="8" w:space="0" w:color="auto"/>
              <w:right w:val="single" w:sz="4" w:space="0" w:color="auto"/>
            </w:tcBorders>
            <w:shd w:val="clear" w:color="000000" w:fill="B8CCE4"/>
            <w:noWrap/>
            <w:vAlign w:val="bottom"/>
            <w:hideMark/>
          </w:tcPr>
          <w:p w14:paraId="362A2590" w14:textId="77777777" w:rsidR="002963AB" w:rsidRPr="002963AB" w:rsidRDefault="002963AB" w:rsidP="002963AB">
            <w:pPr>
              <w:spacing w:before="0" w:after="0" w:line="240" w:lineRule="auto"/>
              <w:rPr>
                <w:rFonts w:ascii="Calibri" w:eastAsia="Times New Roman" w:hAnsi="Calibri" w:cs="Calibri"/>
                <w:sz w:val="22"/>
                <w:szCs w:val="22"/>
                <w:lang w:eastAsia="en-GB"/>
              </w:rPr>
            </w:pPr>
            <w:r w:rsidRPr="002963AB">
              <w:rPr>
                <w:rFonts w:ascii="Calibri" w:eastAsia="Times New Roman" w:hAnsi="Calibri" w:cs="Calibri"/>
                <w:sz w:val="22"/>
                <w:szCs w:val="22"/>
                <w:lang w:eastAsia="en-GB"/>
              </w:rPr>
              <w:t>April 20 - March 21</w:t>
            </w:r>
          </w:p>
        </w:tc>
        <w:tc>
          <w:tcPr>
            <w:tcW w:w="1840" w:type="dxa"/>
            <w:tcBorders>
              <w:top w:val="single" w:sz="8" w:space="0" w:color="auto"/>
              <w:left w:val="nil"/>
              <w:bottom w:val="single" w:sz="8" w:space="0" w:color="auto"/>
              <w:right w:val="single" w:sz="8" w:space="0" w:color="auto"/>
            </w:tcBorders>
            <w:shd w:val="clear" w:color="000000" w:fill="B8CCE4"/>
            <w:noWrap/>
            <w:vAlign w:val="bottom"/>
            <w:hideMark/>
          </w:tcPr>
          <w:p w14:paraId="09EFE4ED" w14:textId="77777777" w:rsidR="002963AB" w:rsidRPr="002963AB" w:rsidRDefault="002963AB" w:rsidP="002963AB">
            <w:pPr>
              <w:spacing w:before="0" w:after="0" w:line="240" w:lineRule="auto"/>
              <w:rPr>
                <w:rFonts w:ascii="Calibri" w:eastAsia="Times New Roman" w:hAnsi="Calibri" w:cs="Calibri"/>
                <w:sz w:val="22"/>
                <w:szCs w:val="22"/>
                <w:lang w:eastAsia="en-GB"/>
              </w:rPr>
            </w:pPr>
            <w:r w:rsidRPr="002963AB">
              <w:rPr>
                <w:rFonts w:ascii="Calibri" w:eastAsia="Times New Roman" w:hAnsi="Calibri" w:cs="Calibri"/>
                <w:sz w:val="22"/>
                <w:szCs w:val="22"/>
                <w:lang w:eastAsia="en-GB"/>
              </w:rPr>
              <w:t>April 21 - March 22</w:t>
            </w:r>
          </w:p>
        </w:tc>
      </w:tr>
      <w:tr w:rsidR="002963AB" w:rsidRPr="002963AB" w14:paraId="12104EF3"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27316714"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Competitive Dialogue</w:t>
            </w:r>
          </w:p>
        </w:tc>
        <w:tc>
          <w:tcPr>
            <w:tcW w:w="1840" w:type="dxa"/>
            <w:tcBorders>
              <w:top w:val="nil"/>
              <w:left w:val="nil"/>
              <w:bottom w:val="single" w:sz="8" w:space="0" w:color="auto"/>
              <w:right w:val="single" w:sz="8" w:space="0" w:color="auto"/>
            </w:tcBorders>
            <w:shd w:val="clear" w:color="auto" w:fill="auto"/>
            <w:vAlign w:val="center"/>
            <w:hideMark/>
          </w:tcPr>
          <w:p w14:paraId="2D4C2EFA"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0</w:t>
            </w:r>
          </w:p>
        </w:tc>
        <w:tc>
          <w:tcPr>
            <w:tcW w:w="1840" w:type="dxa"/>
            <w:tcBorders>
              <w:top w:val="nil"/>
              <w:left w:val="nil"/>
              <w:bottom w:val="single" w:sz="8" w:space="0" w:color="auto"/>
              <w:right w:val="single" w:sz="8" w:space="0" w:color="auto"/>
            </w:tcBorders>
            <w:shd w:val="clear" w:color="auto" w:fill="auto"/>
            <w:vAlign w:val="center"/>
            <w:hideMark/>
          </w:tcPr>
          <w:p w14:paraId="5EB2F5F3"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0</w:t>
            </w:r>
          </w:p>
        </w:tc>
        <w:tc>
          <w:tcPr>
            <w:tcW w:w="1840" w:type="dxa"/>
            <w:tcBorders>
              <w:top w:val="nil"/>
              <w:left w:val="nil"/>
              <w:bottom w:val="single" w:sz="8" w:space="0" w:color="auto"/>
              <w:right w:val="single" w:sz="8" w:space="0" w:color="auto"/>
            </w:tcBorders>
            <w:shd w:val="clear" w:color="auto" w:fill="auto"/>
            <w:vAlign w:val="center"/>
            <w:hideMark/>
          </w:tcPr>
          <w:p w14:paraId="12924FE9"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0</w:t>
            </w:r>
          </w:p>
        </w:tc>
      </w:tr>
      <w:tr w:rsidR="002963AB" w:rsidRPr="002963AB" w14:paraId="60863E6A"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16B187B0"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Dynamic Purchasing System</w:t>
            </w:r>
          </w:p>
        </w:tc>
        <w:tc>
          <w:tcPr>
            <w:tcW w:w="1840" w:type="dxa"/>
            <w:tcBorders>
              <w:top w:val="nil"/>
              <w:left w:val="nil"/>
              <w:bottom w:val="single" w:sz="8" w:space="0" w:color="auto"/>
              <w:right w:val="single" w:sz="8" w:space="0" w:color="auto"/>
            </w:tcBorders>
            <w:shd w:val="clear" w:color="auto" w:fill="auto"/>
            <w:vAlign w:val="center"/>
            <w:hideMark/>
          </w:tcPr>
          <w:p w14:paraId="33AF2263"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4</w:t>
            </w:r>
          </w:p>
        </w:tc>
        <w:tc>
          <w:tcPr>
            <w:tcW w:w="1840" w:type="dxa"/>
            <w:tcBorders>
              <w:top w:val="nil"/>
              <w:left w:val="nil"/>
              <w:bottom w:val="single" w:sz="8" w:space="0" w:color="auto"/>
              <w:right w:val="single" w:sz="8" w:space="0" w:color="auto"/>
            </w:tcBorders>
            <w:shd w:val="clear" w:color="auto" w:fill="auto"/>
            <w:vAlign w:val="center"/>
            <w:hideMark/>
          </w:tcPr>
          <w:p w14:paraId="60C6F353"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3</w:t>
            </w:r>
          </w:p>
        </w:tc>
        <w:tc>
          <w:tcPr>
            <w:tcW w:w="1840" w:type="dxa"/>
            <w:tcBorders>
              <w:top w:val="nil"/>
              <w:left w:val="nil"/>
              <w:bottom w:val="single" w:sz="8" w:space="0" w:color="auto"/>
              <w:right w:val="single" w:sz="8" w:space="0" w:color="auto"/>
            </w:tcBorders>
            <w:shd w:val="clear" w:color="auto" w:fill="auto"/>
            <w:vAlign w:val="center"/>
            <w:hideMark/>
          </w:tcPr>
          <w:p w14:paraId="4B719C4E"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2</w:t>
            </w:r>
          </w:p>
        </w:tc>
      </w:tr>
      <w:tr w:rsidR="002963AB" w:rsidRPr="002963AB" w14:paraId="24EBE860"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19155FCC"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Invitation to Tender</w:t>
            </w:r>
          </w:p>
        </w:tc>
        <w:tc>
          <w:tcPr>
            <w:tcW w:w="1840" w:type="dxa"/>
            <w:tcBorders>
              <w:top w:val="nil"/>
              <w:left w:val="nil"/>
              <w:bottom w:val="single" w:sz="8" w:space="0" w:color="auto"/>
              <w:right w:val="single" w:sz="8" w:space="0" w:color="auto"/>
            </w:tcBorders>
            <w:shd w:val="clear" w:color="auto" w:fill="auto"/>
            <w:vAlign w:val="center"/>
            <w:hideMark/>
          </w:tcPr>
          <w:p w14:paraId="6408CF2D"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13</w:t>
            </w:r>
          </w:p>
        </w:tc>
        <w:tc>
          <w:tcPr>
            <w:tcW w:w="1840" w:type="dxa"/>
            <w:tcBorders>
              <w:top w:val="nil"/>
              <w:left w:val="nil"/>
              <w:bottom w:val="single" w:sz="8" w:space="0" w:color="auto"/>
              <w:right w:val="single" w:sz="8" w:space="0" w:color="auto"/>
            </w:tcBorders>
            <w:shd w:val="clear" w:color="auto" w:fill="auto"/>
            <w:vAlign w:val="center"/>
            <w:hideMark/>
          </w:tcPr>
          <w:p w14:paraId="4100E8C9"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19</w:t>
            </w:r>
          </w:p>
        </w:tc>
        <w:tc>
          <w:tcPr>
            <w:tcW w:w="1840" w:type="dxa"/>
            <w:tcBorders>
              <w:top w:val="nil"/>
              <w:left w:val="nil"/>
              <w:bottom w:val="single" w:sz="8" w:space="0" w:color="auto"/>
              <w:right w:val="single" w:sz="8" w:space="0" w:color="auto"/>
            </w:tcBorders>
            <w:shd w:val="clear" w:color="auto" w:fill="auto"/>
            <w:vAlign w:val="center"/>
            <w:hideMark/>
          </w:tcPr>
          <w:p w14:paraId="5AEF2F06"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16</w:t>
            </w:r>
          </w:p>
        </w:tc>
      </w:tr>
      <w:tr w:rsidR="002963AB" w:rsidRPr="002963AB" w14:paraId="06E478F9"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093E73A2"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Quick Quote</w:t>
            </w:r>
          </w:p>
        </w:tc>
        <w:tc>
          <w:tcPr>
            <w:tcW w:w="1840" w:type="dxa"/>
            <w:tcBorders>
              <w:top w:val="nil"/>
              <w:left w:val="nil"/>
              <w:bottom w:val="single" w:sz="8" w:space="0" w:color="auto"/>
              <w:right w:val="single" w:sz="8" w:space="0" w:color="auto"/>
            </w:tcBorders>
            <w:shd w:val="clear" w:color="auto" w:fill="auto"/>
            <w:vAlign w:val="center"/>
            <w:hideMark/>
          </w:tcPr>
          <w:p w14:paraId="3BE6CFA4"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5</w:t>
            </w:r>
          </w:p>
        </w:tc>
        <w:tc>
          <w:tcPr>
            <w:tcW w:w="1840" w:type="dxa"/>
            <w:tcBorders>
              <w:top w:val="nil"/>
              <w:left w:val="nil"/>
              <w:bottom w:val="single" w:sz="8" w:space="0" w:color="auto"/>
              <w:right w:val="single" w:sz="8" w:space="0" w:color="auto"/>
            </w:tcBorders>
            <w:shd w:val="clear" w:color="auto" w:fill="auto"/>
            <w:vAlign w:val="center"/>
            <w:hideMark/>
          </w:tcPr>
          <w:p w14:paraId="20B88C7D"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7</w:t>
            </w:r>
          </w:p>
        </w:tc>
        <w:tc>
          <w:tcPr>
            <w:tcW w:w="1840" w:type="dxa"/>
            <w:tcBorders>
              <w:top w:val="nil"/>
              <w:left w:val="nil"/>
              <w:bottom w:val="single" w:sz="8" w:space="0" w:color="auto"/>
              <w:right w:val="single" w:sz="8" w:space="0" w:color="auto"/>
            </w:tcBorders>
            <w:shd w:val="clear" w:color="auto" w:fill="auto"/>
            <w:vAlign w:val="center"/>
            <w:hideMark/>
          </w:tcPr>
          <w:p w14:paraId="62F25CF1"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3</w:t>
            </w:r>
          </w:p>
        </w:tc>
      </w:tr>
      <w:tr w:rsidR="002963AB" w:rsidRPr="002963AB" w14:paraId="5CCCADA3"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06019FC2"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Request for Information</w:t>
            </w:r>
          </w:p>
        </w:tc>
        <w:tc>
          <w:tcPr>
            <w:tcW w:w="1840" w:type="dxa"/>
            <w:tcBorders>
              <w:top w:val="nil"/>
              <w:left w:val="nil"/>
              <w:bottom w:val="single" w:sz="8" w:space="0" w:color="auto"/>
              <w:right w:val="single" w:sz="8" w:space="0" w:color="auto"/>
            </w:tcBorders>
            <w:shd w:val="clear" w:color="auto" w:fill="auto"/>
            <w:vAlign w:val="center"/>
            <w:hideMark/>
          </w:tcPr>
          <w:p w14:paraId="075A8AE7"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2</w:t>
            </w:r>
          </w:p>
        </w:tc>
        <w:tc>
          <w:tcPr>
            <w:tcW w:w="1840" w:type="dxa"/>
            <w:tcBorders>
              <w:top w:val="nil"/>
              <w:left w:val="nil"/>
              <w:bottom w:val="single" w:sz="8" w:space="0" w:color="auto"/>
              <w:right w:val="single" w:sz="8" w:space="0" w:color="auto"/>
            </w:tcBorders>
            <w:shd w:val="clear" w:color="auto" w:fill="auto"/>
            <w:vAlign w:val="center"/>
            <w:hideMark/>
          </w:tcPr>
          <w:p w14:paraId="378F86F3"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2</w:t>
            </w:r>
          </w:p>
        </w:tc>
        <w:tc>
          <w:tcPr>
            <w:tcW w:w="1840" w:type="dxa"/>
            <w:tcBorders>
              <w:top w:val="nil"/>
              <w:left w:val="nil"/>
              <w:bottom w:val="single" w:sz="8" w:space="0" w:color="auto"/>
              <w:right w:val="single" w:sz="8" w:space="0" w:color="auto"/>
            </w:tcBorders>
            <w:shd w:val="clear" w:color="auto" w:fill="auto"/>
            <w:vAlign w:val="center"/>
            <w:hideMark/>
          </w:tcPr>
          <w:p w14:paraId="1838F99D"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0</w:t>
            </w:r>
          </w:p>
        </w:tc>
      </w:tr>
      <w:tr w:rsidR="002963AB" w:rsidRPr="002963AB" w14:paraId="13CC1CA0"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332E297F" w14:textId="77777777" w:rsidR="002963AB" w:rsidRPr="002963AB" w:rsidRDefault="002963AB" w:rsidP="002963AB">
            <w:pPr>
              <w:spacing w:before="0" w:after="0" w:line="240" w:lineRule="auto"/>
              <w:rPr>
                <w:rFonts w:ascii="Calibri" w:eastAsia="Times New Roman" w:hAnsi="Calibri" w:cs="Calibri"/>
                <w:color w:val="000000"/>
                <w:lang w:eastAsia="en-GB"/>
              </w:rPr>
            </w:pPr>
            <w:r w:rsidRPr="002963AB">
              <w:rPr>
                <w:rFonts w:ascii="Calibri" w:eastAsia="Times New Roman" w:hAnsi="Calibri" w:cs="Calibri"/>
                <w:color w:val="000000"/>
                <w:lang w:eastAsia="en-GB"/>
              </w:rPr>
              <w:t>Request for Quotation</w:t>
            </w:r>
          </w:p>
        </w:tc>
        <w:tc>
          <w:tcPr>
            <w:tcW w:w="1840" w:type="dxa"/>
            <w:tcBorders>
              <w:top w:val="nil"/>
              <w:left w:val="nil"/>
              <w:bottom w:val="single" w:sz="8" w:space="0" w:color="auto"/>
              <w:right w:val="single" w:sz="8" w:space="0" w:color="auto"/>
            </w:tcBorders>
            <w:shd w:val="clear" w:color="auto" w:fill="auto"/>
            <w:vAlign w:val="center"/>
            <w:hideMark/>
          </w:tcPr>
          <w:p w14:paraId="0CFABA77"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200</w:t>
            </w:r>
          </w:p>
        </w:tc>
        <w:tc>
          <w:tcPr>
            <w:tcW w:w="1840" w:type="dxa"/>
            <w:tcBorders>
              <w:top w:val="nil"/>
              <w:left w:val="nil"/>
              <w:bottom w:val="single" w:sz="8" w:space="0" w:color="auto"/>
              <w:right w:val="single" w:sz="8" w:space="0" w:color="auto"/>
            </w:tcBorders>
            <w:shd w:val="clear" w:color="auto" w:fill="auto"/>
            <w:vAlign w:val="center"/>
            <w:hideMark/>
          </w:tcPr>
          <w:p w14:paraId="09D02C18"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199</w:t>
            </w:r>
          </w:p>
        </w:tc>
        <w:tc>
          <w:tcPr>
            <w:tcW w:w="1840" w:type="dxa"/>
            <w:tcBorders>
              <w:top w:val="nil"/>
              <w:left w:val="nil"/>
              <w:bottom w:val="single" w:sz="8" w:space="0" w:color="auto"/>
              <w:right w:val="single" w:sz="8" w:space="0" w:color="auto"/>
            </w:tcBorders>
            <w:shd w:val="clear" w:color="auto" w:fill="auto"/>
            <w:vAlign w:val="center"/>
            <w:hideMark/>
          </w:tcPr>
          <w:p w14:paraId="1238456D" w14:textId="77777777" w:rsidR="002963AB" w:rsidRPr="002963AB" w:rsidRDefault="002963AB" w:rsidP="002963AB">
            <w:pPr>
              <w:spacing w:before="0" w:after="0" w:line="240" w:lineRule="auto"/>
              <w:jc w:val="center"/>
              <w:rPr>
                <w:rFonts w:ascii="Calibri" w:eastAsia="Times New Roman" w:hAnsi="Calibri" w:cs="Calibri"/>
                <w:color w:val="000000"/>
                <w:lang w:eastAsia="en-GB"/>
              </w:rPr>
            </w:pPr>
            <w:r w:rsidRPr="002963AB">
              <w:rPr>
                <w:rFonts w:ascii="Calibri" w:eastAsia="Times New Roman" w:hAnsi="Calibri" w:cs="Calibri"/>
                <w:color w:val="000000"/>
                <w:lang w:eastAsia="en-GB"/>
              </w:rPr>
              <w:t>273</w:t>
            </w:r>
          </w:p>
        </w:tc>
      </w:tr>
      <w:tr w:rsidR="002963AB" w:rsidRPr="002963AB" w14:paraId="3DF4EF7D" w14:textId="77777777" w:rsidTr="002963AB">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1872D82E" w14:textId="77777777" w:rsidR="002963AB" w:rsidRPr="002963AB" w:rsidRDefault="002963AB" w:rsidP="002963AB">
            <w:pPr>
              <w:spacing w:before="0" w:after="0" w:line="240" w:lineRule="auto"/>
              <w:rPr>
                <w:rFonts w:ascii="Calibri" w:eastAsia="Times New Roman" w:hAnsi="Calibri" w:cs="Calibri"/>
                <w:b/>
                <w:bCs/>
                <w:color w:val="000000"/>
                <w:lang w:eastAsia="en-GB"/>
              </w:rPr>
            </w:pPr>
            <w:r w:rsidRPr="002963AB">
              <w:rPr>
                <w:rFonts w:ascii="Calibri" w:eastAsia="Times New Roman" w:hAnsi="Calibri" w:cs="Calibri"/>
                <w:b/>
                <w:bCs/>
                <w:color w:val="000000"/>
                <w:lang w:eastAsia="en-GB"/>
              </w:rPr>
              <w:t>Total</w:t>
            </w:r>
          </w:p>
        </w:tc>
        <w:tc>
          <w:tcPr>
            <w:tcW w:w="1840" w:type="dxa"/>
            <w:tcBorders>
              <w:top w:val="nil"/>
              <w:left w:val="nil"/>
              <w:bottom w:val="single" w:sz="8" w:space="0" w:color="auto"/>
              <w:right w:val="single" w:sz="8" w:space="0" w:color="auto"/>
            </w:tcBorders>
            <w:shd w:val="clear" w:color="auto" w:fill="auto"/>
            <w:vAlign w:val="center"/>
            <w:hideMark/>
          </w:tcPr>
          <w:p w14:paraId="08DC1D14" w14:textId="77777777" w:rsidR="002963AB" w:rsidRPr="002963AB" w:rsidRDefault="002963AB" w:rsidP="002963AB">
            <w:pPr>
              <w:spacing w:before="0" w:after="0" w:line="240" w:lineRule="auto"/>
              <w:jc w:val="center"/>
              <w:rPr>
                <w:rFonts w:ascii="Calibri" w:eastAsia="Times New Roman" w:hAnsi="Calibri" w:cs="Calibri"/>
                <w:b/>
                <w:bCs/>
                <w:color w:val="000000"/>
                <w:lang w:eastAsia="en-GB"/>
              </w:rPr>
            </w:pPr>
            <w:r w:rsidRPr="002963AB">
              <w:rPr>
                <w:rFonts w:ascii="Calibri" w:eastAsia="Times New Roman" w:hAnsi="Calibri" w:cs="Calibri"/>
                <w:b/>
                <w:bCs/>
                <w:color w:val="000000"/>
                <w:lang w:eastAsia="en-GB"/>
              </w:rPr>
              <w:t>224</w:t>
            </w:r>
          </w:p>
        </w:tc>
        <w:tc>
          <w:tcPr>
            <w:tcW w:w="1840" w:type="dxa"/>
            <w:tcBorders>
              <w:top w:val="nil"/>
              <w:left w:val="nil"/>
              <w:bottom w:val="single" w:sz="8" w:space="0" w:color="auto"/>
              <w:right w:val="single" w:sz="8" w:space="0" w:color="auto"/>
            </w:tcBorders>
            <w:shd w:val="clear" w:color="auto" w:fill="auto"/>
            <w:vAlign w:val="center"/>
            <w:hideMark/>
          </w:tcPr>
          <w:p w14:paraId="7F543CDD" w14:textId="77777777" w:rsidR="002963AB" w:rsidRPr="002963AB" w:rsidRDefault="002963AB" w:rsidP="002963AB">
            <w:pPr>
              <w:spacing w:before="0" w:after="0" w:line="240" w:lineRule="auto"/>
              <w:jc w:val="center"/>
              <w:rPr>
                <w:rFonts w:ascii="Calibri" w:eastAsia="Times New Roman" w:hAnsi="Calibri" w:cs="Calibri"/>
                <w:b/>
                <w:bCs/>
                <w:color w:val="000000"/>
                <w:lang w:eastAsia="en-GB"/>
              </w:rPr>
            </w:pPr>
            <w:r w:rsidRPr="002963AB">
              <w:rPr>
                <w:rFonts w:ascii="Calibri" w:eastAsia="Times New Roman" w:hAnsi="Calibri" w:cs="Calibri"/>
                <w:b/>
                <w:bCs/>
                <w:color w:val="000000"/>
                <w:lang w:eastAsia="en-GB"/>
              </w:rPr>
              <w:t>230</w:t>
            </w:r>
          </w:p>
        </w:tc>
        <w:tc>
          <w:tcPr>
            <w:tcW w:w="1840" w:type="dxa"/>
            <w:tcBorders>
              <w:top w:val="nil"/>
              <w:left w:val="nil"/>
              <w:bottom w:val="single" w:sz="8" w:space="0" w:color="auto"/>
              <w:right w:val="single" w:sz="8" w:space="0" w:color="auto"/>
            </w:tcBorders>
            <w:shd w:val="clear" w:color="auto" w:fill="auto"/>
            <w:vAlign w:val="center"/>
            <w:hideMark/>
          </w:tcPr>
          <w:p w14:paraId="5DAFD7C1" w14:textId="77777777" w:rsidR="002963AB" w:rsidRPr="002963AB" w:rsidRDefault="002963AB" w:rsidP="002963AB">
            <w:pPr>
              <w:spacing w:before="0" w:after="0" w:line="240" w:lineRule="auto"/>
              <w:jc w:val="center"/>
              <w:rPr>
                <w:rFonts w:ascii="Calibri" w:eastAsia="Times New Roman" w:hAnsi="Calibri" w:cs="Calibri"/>
                <w:b/>
                <w:bCs/>
                <w:color w:val="000000"/>
                <w:lang w:eastAsia="en-GB"/>
              </w:rPr>
            </w:pPr>
            <w:r w:rsidRPr="002963AB">
              <w:rPr>
                <w:rFonts w:ascii="Calibri" w:eastAsia="Times New Roman" w:hAnsi="Calibri" w:cs="Calibri"/>
                <w:b/>
                <w:bCs/>
                <w:color w:val="000000"/>
                <w:lang w:eastAsia="en-GB"/>
              </w:rPr>
              <w:t>294</w:t>
            </w:r>
          </w:p>
        </w:tc>
      </w:tr>
    </w:tbl>
    <w:p w14:paraId="78946938" w14:textId="77777777" w:rsidR="002963AB" w:rsidRPr="00F139DD" w:rsidRDefault="002963AB" w:rsidP="002875F7"/>
    <w:p w14:paraId="70958F3D" w14:textId="77777777" w:rsidR="00E0068B" w:rsidRDefault="00F40F83" w:rsidP="00DB5512">
      <w:pPr>
        <w:pStyle w:val="Heading2"/>
      </w:pPr>
      <w:bookmarkStart w:id="22" w:name="_Toc117766931"/>
      <w:r>
        <w:t>5</w:t>
      </w:r>
      <w:r w:rsidR="00DB5512">
        <w:t>.6 Transparency reporting</w:t>
      </w:r>
      <w:bookmarkEnd w:id="22"/>
    </w:p>
    <w:p w14:paraId="34A507C7" w14:textId="77777777" w:rsidR="00E0068B" w:rsidRDefault="00FF431F" w:rsidP="002875F7">
      <w:r>
        <w:t>As well as measuring and monitoring the above</w:t>
      </w:r>
      <w:r w:rsidR="00C26230">
        <w:t xml:space="preserve"> performance measures, procurement will publish transparency reports in line with the Procurement Regulations this includes but is not limited to:</w:t>
      </w:r>
    </w:p>
    <w:p w14:paraId="3A28376F" w14:textId="77777777" w:rsidR="0036066C" w:rsidRDefault="00C26230" w:rsidP="00DC0947">
      <w:pPr>
        <w:pStyle w:val="ListParagraph"/>
        <w:numPr>
          <w:ilvl w:val="0"/>
          <w:numId w:val="3"/>
        </w:numPr>
        <w:rPr>
          <w:rFonts w:asciiTheme="minorHAnsi" w:hAnsiTheme="minorHAnsi" w:cstheme="minorHAnsi"/>
          <w:sz w:val="20"/>
          <w:szCs w:val="20"/>
        </w:rPr>
      </w:pPr>
      <w:r w:rsidRPr="00C26230">
        <w:rPr>
          <w:rFonts w:asciiTheme="minorHAnsi" w:hAnsiTheme="minorHAnsi" w:cstheme="minorHAnsi"/>
          <w:sz w:val="20"/>
          <w:szCs w:val="20"/>
        </w:rPr>
        <w:t xml:space="preserve">Councils Contract register </w:t>
      </w:r>
      <w:r w:rsidR="00DB5512">
        <w:rPr>
          <w:rFonts w:asciiTheme="minorHAnsi" w:hAnsiTheme="minorHAnsi" w:cstheme="minorHAnsi"/>
          <w:sz w:val="20"/>
          <w:szCs w:val="20"/>
        </w:rPr>
        <w:t xml:space="preserve"> (a redacted version, providing only required data)</w:t>
      </w:r>
    </w:p>
    <w:p w14:paraId="33E36482" w14:textId="77777777" w:rsidR="00C26230" w:rsidRPr="00975DF9" w:rsidRDefault="00233EB0" w:rsidP="0036066C">
      <w:pPr>
        <w:pStyle w:val="ListParagraph"/>
        <w:numPr>
          <w:ilvl w:val="1"/>
          <w:numId w:val="3"/>
        </w:numPr>
        <w:rPr>
          <w:rFonts w:ascii="Calibri" w:hAnsi="Calibri" w:cs="Calibri"/>
          <w:sz w:val="20"/>
          <w:szCs w:val="20"/>
        </w:rPr>
      </w:pPr>
      <w:hyperlink r:id="rId20" w:history="1">
        <w:r w:rsidR="00C26230" w:rsidRPr="00975DF9">
          <w:rPr>
            <w:rStyle w:val="Hyperlink"/>
            <w:rFonts w:ascii="Calibri" w:hAnsi="Calibri" w:cs="Calibri"/>
            <w:sz w:val="20"/>
            <w:szCs w:val="20"/>
          </w:rPr>
          <w:t>Council Contracts | Council Contracts | Oxford City Council</w:t>
        </w:r>
      </w:hyperlink>
    </w:p>
    <w:p w14:paraId="35939822" w14:textId="77777777" w:rsidR="00B86365" w:rsidRDefault="00C26230" w:rsidP="003216E6">
      <w:pPr>
        <w:pStyle w:val="ListParagraph"/>
        <w:numPr>
          <w:ilvl w:val="0"/>
          <w:numId w:val="3"/>
        </w:numPr>
        <w:rPr>
          <w:rFonts w:asciiTheme="minorHAnsi" w:hAnsiTheme="minorHAnsi" w:cstheme="minorHAnsi"/>
          <w:sz w:val="20"/>
          <w:szCs w:val="20"/>
        </w:rPr>
      </w:pPr>
      <w:r w:rsidRPr="00C26230">
        <w:rPr>
          <w:rFonts w:asciiTheme="minorHAnsi" w:hAnsiTheme="minorHAnsi" w:cstheme="minorHAnsi"/>
          <w:sz w:val="20"/>
          <w:szCs w:val="20"/>
        </w:rPr>
        <w:t>Expenditure Data on items over £500</w:t>
      </w:r>
      <w:r w:rsidR="0036066C">
        <w:rPr>
          <w:rFonts w:asciiTheme="minorHAnsi" w:hAnsiTheme="minorHAnsi" w:cstheme="minorHAnsi"/>
          <w:sz w:val="20"/>
          <w:szCs w:val="20"/>
        </w:rPr>
        <w:t xml:space="preserve"> and Government Procurement Card Transactions</w:t>
      </w:r>
      <w:r w:rsidR="00DB5512">
        <w:rPr>
          <w:rFonts w:asciiTheme="minorHAnsi" w:hAnsiTheme="minorHAnsi" w:cstheme="minorHAnsi"/>
          <w:sz w:val="20"/>
          <w:szCs w:val="20"/>
        </w:rPr>
        <w:t xml:space="preserve">.  This is a Regulatory requirement </w:t>
      </w:r>
      <w:r w:rsidR="007E7036">
        <w:rPr>
          <w:rFonts w:asciiTheme="minorHAnsi" w:hAnsiTheme="minorHAnsi" w:cstheme="minorHAnsi"/>
          <w:sz w:val="20"/>
          <w:szCs w:val="20"/>
        </w:rPr>
        <w:t xml:space="preserve">as set out in the </w:t>
      </w:r>
      <w:r w:rsidR="0036066C">
        <w:rPr>
          <w:rFonts w:asciiTheme="minorHAnsi" w:hAnsiTheme="minorHAnsi" w:cstheme="minorHAnsi"/>
          <w:sz w:val="20"/>
          <w:szCs w:val="20"/>
        </w:rPr>
        <w:t>Local Authorities (Data Transparency) Code 2015, requiring local authorities in England to publish information relating to expenditure over £500</w:t>
      </w:r>
      <w:r w:rsidRPr="00C26230">
        <w:rPr>
          <w:rFonts w:asciiTheme="minorHAnsi" w:hAnsiTheme="minorHAnsi" w:cstheme="minorHAnsi"/>
          <w:sz w:val="20"/>
          <w:szCs w:val="20"/>
        </w:rPr>
        <w:t xml:space="preserve"> </w:t>
      </w:r>
      <w:r w:rsidR="0036066C">
        <w:rPr>
          <w:rFonts w:asciiTheme="minorHAnsi" w:hAnsiTheme="minorHAnsi" w:cstheme="minorHAnsi"/>
          <w:sz w:val="20"/>
          <w:szCs w:val="20"/>
        </w:rPr>
        <w:t xml:space="preserve"> </w:t>
      </w:r>
    </w:p>
    <w:p w14:paraId="7A402012" w14:textId="77777777" w:rsidR="00C26230" w:rsidRPr="00975DF9" w:rsidRDefault="00233EB0" w:rsidP="00B16250">
      <w:pPr>
        <w:pStyle w:val="ListParagraph"/>
        <w:numPr>
          <w:ilvl w:val="1"/>
          <w:numId w:val="3"/>
        </w:numPr>
        <w:rPr>
          <w:rStyle w:val="Hyperlink"/>
          <w:rFonts w:ascii="Calibri" w:hAnsi="Calibri" w:cs="Calibri"/>
          <w:sz w:val="20"/>
          <w:szCs w:val="20"/>
        </w:rPr>
      </w:pPr>
      <w:hyperlink r:id="rId21" w:history="1">
        <w:r w:rsidR="00B86365" w:rsidRPr="00975DF9">
          <w:rPr>
            <w:rStyle w:val="Hyperlink"/>
            <w:rFonts w:ascii="Calibri" w:hAnsi="Calibri" w:cs="Calibri"/>
            <w:sz w:val="20"/>
            <w:szCs w:val="20"/>
          </w:rPr>
          <w:t>Our spending data | Our spending data | Oxford City Council</w:t>
        </w:r>
      </w:hyperlink>
    </w:p>
    <w:p w14:paraId="091B5CEF" w14:textId="77777777" w:rsidR="002875F7" w:rsidRDefault="00F40F83" w:rsidP="0036066C">
      <w:pPr>
        <w:pStyle w:val="Heading2"/>
      </w:pPr>
      <w:bookmarkStart w:id="23" w:name="_Toc117766932"/>
      <w:r>
        <w:t>5</w:t>
      </w:r>
      <w:r w:rsidR="0036066C">
        <w:t>.7 Key Performance Indicators</w:t>
      </w:r>
      <w:bookmarkEnd w:id="23"/>
    </w:p>
    <w:p w14:paraId="79C9032E" w14:textId="77777777" w:rsidR="00E519C7" w:rsidRPr="00C728C8" w:rsidRDefault="0036066C" w:rsidP="002875F7">
      <w:pPr>
        <w:rPr>
          <w:b/>
        </w:rPr>
      </w:pPr>
      <w:r w:rsidRPr="00C728C8">
        <w:rPr>
          <w:b/>
        </w:rPr>
        <w:t>Percentage of spend with SME’s</w:t>
      </w:r>
      <w:r w:rsidR="00E519C7" w:rsidRPr="00C728C8">
        <w:rPr>
          <w:b/>
        </w:rPr>
        <w:t>.</w:t>
      </w:r>
      <w:r w:rsidRPr="00C728C8">
        <w:rPr>
          <w:b/>
        </w:rPr>
        <w:t xml:space="preserve">  </w:t>
      </w:r>
    </w:p>
    <w:p w14:paraId="2F8BEB0E" w14:textId="77777777" w:rsidR="00D71229" w:rsidRDefault="00D71229" w:rsidP="002875F7">
      <w:r>
        <w:t>The</w:t>
      </w:r>
      <w:r w:rsidR="0036066C">
        <w:t xml:space="preserve"> government target for spend with SME’s is set at 33% by 2025.</w:t>
      </w:r>
      <w:r>
        <w:t xml:space="preserve">  </w:t>
      </w:r>
    </w:p>
    <w:p w14:paraId="25C54EEE" w14:textId="77777777" w:rsidR="002875F7" w:rsidRDefault="00D71229" w:rsidP="002875F7">
      <w:r>
        <w:t>Currently only direct SME spend is recorded.  The recording and monitoring of indirect SME spend is more complex</w:t>
      </w:r>
      <w:r w:rsidR="00D64858">
        <w:t xml:space="preserve"> (for instance where</w:t>
      </w:r>
      <w:r>
        <w:t xml:space="preserve"> the council appoint</w:t>
      </w:r>
      <w:r w:rsidR="00D64858">
        <w:t>s</w:t>
      </w:r>
      <w:r>
        <w:t xml:space="preserve"> a contractor for a build contract who is not an SME, however that contractor uses SME’s in their supply chain to deliver the contract).</w:t>
      </w:r>
    </w:p>
    <w:p w14:paraId="1D71C7F2" w14:textId="77777777" w:rsidR="00D71229" w:rsidRDefault="00D71229" w:rsidP="002875F7">
      <w:r>
        <w:t>Oxford Direct Services, one of the Council</w:t>
      </w:r>
      <w:r w:rsidR="00D64858">
        <w:t>’</w:t>
      </w:r>
      <w:r>
        <w:t xml:space="preserve">s main suppliers </w:t>
      </w:r>
      <w:r w:rsidR="00FE6D34">
        <w:t xml:space="preserve">is </w:t>
      </w:r>
      <w:r>
        <w:t>not classed as an SME.</w:t>
      </w:r>
    </w:p>
    <w:p w14:paraId="31104D55" w14:textId="77777777" w:rsidR="00E45957" w:rsidRDefault="00C728C8" w:rsidP="002875F7">
      <w:r>
        <w:rPr>
          <w:noProof/>
          <w:lang w:eastAsia="en-GB"/>
        </w:rPr>
        <w:drawing>
          <wp:inline distT="0" distB="0" distL="0" distR="0" wp14:anchorId="030218BD" wp14:editId="027BCBC7">
            <wp:extent cx="2860556" cy="1755453"/>
            <wp:effectExtent l="0" t="0" r="1651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73751E" w14:textId="77777777" w:rsidR="00E519C7" w:rsidRDefault="00D71229" w:rsidP="00D71229">
      <w:r w:rsidRPr="00C728C8">
        <w:rPr>
          <w:b/>
        </w:rPr>
        <w:t>The percentage of spend with Local suppliers</w:t>
      </w:r>
      <w:r>
        <w:t xml:space="preserve"> </w:t>
      </w:r>
    </w:p>
    <w:p w14:paraId="3D60E56D" w14:textId="77777777" w:rsidR="00D71229" w:rsidRDefault="00D71229" w:rsidP="00D71229">
      <w:r>
        <w:t>There is no set Government target for this.</w:t>
      </w:r>
    </w:p>
    <w:p w14:paraId="494E6528" w14:textId="77777777" w:rsidR="00D71229" w:rsidRDefault="00D71229" w:rsidP="00D71229">
      <w:r>
        <w:t>The Council can only record direct local spend</w:t>
      </w:r>
      <w:r w:rsidR="00C571B0">
        <w:t xml:space="preserve"> not indirect</w:t>
      </w:r>
      <w:r>
        <w:t xml:space="preserve"> (I.e. the </w:t>
      </w:r>
      <w:r w:rsidR="00FE6D34">
        <w:t xml:space="preserve">Council </w:t>
      </w:r>
      <w:r>
        <w:t>appoint a contractor for a build contract who is not a local supplier, however that contractor uses suppliers in their supply chain to deliver the contract who are based in Oxford).</w:t>
      </w:r>
    </w:p>
    <w:p w14:paraId="5F8B9236" w14:textId="77777777" w:rsidR="00C728C8" w:rsidRDefault="00C728C8" w:rsidP="00D71229">
      <w:r>
        <w:rPr>
          <w:noProof/>
          <w:lang w:eastAsia="en-GB"/>
        </w:rPr>
        <w:drawing>
          <wp:inline distT="0" distB="0" distL="0" distR="0" wp14:anchorId="62453EDA" wp14:editId="15890C75">
            <wp:extent cx="3139277" cy="1711444"/>
            <wp:effectExtent l="0" t="0" r="444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7503ED" w14:textId="77777777" w:rsidR="00C728C8" w:rsidRDefault="00C728C8" w:rsidP="002875F7">
      <w:pPr>
        <w:rPr>
          <w:b/>
        </w:rPr>
      </w:pPr>
    </w:p>
    <w:p w14:paraId="0C245A91" w14:textId="77777777" w:rsidR="00612252" w:rsidRPr="00E519C7" w:rsidRDefault="00E519C7" w:rsidP="002875F7">
      <w:pPr>
        <w:rPr>
          <w:b/>
        </w:rPr>
      </w:pPr>
      <w:r w:rsidRPr="00E519C7">
        <w:rPr>
          <w:b/>
        </w:rPr>
        <w:t xml:space="preserve">Percentage of undisputed invoices </w:t>
      </w:r>
      <w:r w:rsidR="00D71229" w:rsidRPr="00E519C7">
        <w:rPr>
          <w:b/>
        </w:rPr>
        <w:t>paid within 30 days of recei</w:t>
      </w:r>
      <w:r w:rsidRPr="00E519C7">
        <w:rPr>
          <w:b/>
        </w:rPr>
        <w:t>pt</w:t>
      </w:r>
      <w:r w:rsidR="00D71229" w:rsidRPr="00E519C7">
        <w:rPr>
          <w:b/>
        </w:rPr>
        <w:t>.</w:t>
      </w:r>
      <w:r w:rsidR="00612252" w:rsidRPr="00E519C7">
        <w:rPr>
          <w:b/>
        </w:rPr>
        <w:t xml:space="preserve">  </w:t>
      </w:r>
    </w:p>
    <w:tbl>
      <w:tblPr>
        <w:tblW w:w="6514" w:type="dxa"/>
        <w:tblLook w:val="04A0" w:firstRow="1" w:lastRow="0" w:firstColumn="1" w:lastColumn="0" w:noHBand="0" w:noVBand="1"/>
      </w:tblPr>
      <w:tblGrid>
        <w:gridCol w:w="2860"/>
        <w:gridCol w:w="1218"/>
        <w:gridCol w:w="1218"/>
        <w:gridCol w:w="1218"/>
      </w:tblGrid>
      <w:tr w:rsidR="00612252" w:rsidRPr="00612252" w14:paraId="3F807820" w14:textId="77777777" w:rsidTr="001569CB">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1A61"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1707F3CD"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2019_2020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2720BCEA"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2020_2021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2DFC34C0"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2021_2022</w:t>
            </w:r>
          </w:p>
        </w:tc>
      </w:tr>
      <w:tr w:rsidR="00612252" w:rsidRPr="00612252" w14:paraId="0A7CAF1E" w14:textId="77777777" w:rsidTr="001569CB">
        <w:trPr>
          <w:trHeight w:val="290"/>
        </w:trPr>
        <w:tc>
          <w:tcPr>
            <w:tcW w:w="2860" w:type="dxa"/>
            <w:tcBorders>
              <w:top w:val="nil"/>
              <w:left w:val="single" w:sz="4" w:space="0" w:color="auto"/>
              <w:bottom w:val="single" w:sz="4" w:space="0" w:color="auto"/>
              <w:right w:val="single" w:sz="4" w:space="0" w:color="auto"/>
            </w:tcBorders>
            <w:shd w:val="clear" w:color="000000" w:fill="BDD7EE"/>
            <w:noWrap/>
            <w:vAlign w:val="bottom"/>
            <w:hideMark/>
          </w:tcPr>
          <w:p w14:paraId="3E8D3D51"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Paid within 30 days of receipt</w:t>
            </w:r>
          </w:p>
        </w:tc>
        <w:tc>
          <w:tcPr>
            <w:tcW w:w="1218" w:type="dxa"/>
            <w:tcBorders>
              <w:top w:val="nil"/>
              <w:left w:val="nil"/>
              <w:bottom w:val="single" w:sz="4" w:space="0" w:color="auto"/>
              <w:right w:val="single" w:sz="4" w:space="0" w:color="auto"/>
            </w:tcBorders>
            <w:shd w:val="clear" w:color="auto" w:fill="auto"/>
            <w:noWrap/>
            <w:vAlign w:val="bottom"/>
            <w:hideMark/>
          </w:tcPr>
          <w:p w14:paraId="4B761029"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16147</w:t>
            </w:r>
          </w:p>
        </w:tc>
        <w:tc>
          <w:tcPr>
            <w:tcW w:w="1218" w:type="dxa"/>
            <w:tcBorders>
              <w:top w:val="nil"/>
              <w:left w:val="nil"/>
              <w:bottom w:val="single" w:sz="4" w:space="0" w:color="auto"/>
              <w:right w:val="single" w:sz="4" w:space="0" w:color="auto"/>
            </w:tcBorders>
            <w:shd w:val="clear" w:color="auto" w:fill="auto"/>
            <w:noWrap/>
            <w:vAlign w:val="bottom"/>
            <w:hideMark/>
          </w:tcPr>
          <w:p w14:paraId="0B56D688"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13299</w:t>
            </w:r>
          </w:p>
        </w:tc>
        <w:tc>
          <w:tcPr>
            <w:tcW w:w="1218" w:type="dxa"/>
            <w:tcBorders>
              <w:top w:val="nil"/>
              <w:left w:val="nil"/>
              <w:bottom w:val="single" w:sz="4" w:space="0" w:color="auto"/>
              <w:right w:val="single" w:sz="4" w:space="0" w:color="auto"/>
            </w:tcBorders>
            <w:shd w:val="clear" w:color="auto" w:fill="auto"/>
            <w:noWrap/>
            <w:vAlign w:val="bottom"/>
            <w:hideMark/>
          </w:tcPr>
          <w:p w14:paraId="1D70C685"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14346</w:t>
            </w:r>
          </w:p>
        </w:tc>
      </w:tr>
      <w:tr w:rsidR="00612252" w:rsidRPr="00612252" w14:paraId="787FD0B8" w14:textId="77777777" w:rsidTr="001569CB">
        <w:trPr>
          <w:trHeight w:val="290"/>
        </w:trPr>
        <w:tc>
          <w:tcPr>
            <w:tcW w:w="2860" w:type="dxa"/>
            <w:tcBorders>
              <w:top w:val="nil"/>
              <w:left w:val="single" w:sz="4" w:space="0" w:color="auto"/>
              <w:bottom w:val="single" w:sz="4" w:space="0" w:color="auto"/>
              <w:right w:val="single" w:sz="4" w:space="0" w:color="auto"/>
            </w:tcBorders>
            <w:shd w:val="clear" w:color="000000" w:fill="BDD7EE"/>
            <w:noWrap/>
            <w:vAlign w:val="bottom"/>
            <w:hideMark/>
          </w:tcPr>
          <w:p w14:paraId="6C56BA5B"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Total no of invoices</w:t>
            </w:r>
          </w:p>
        </w:tc>
        <w:tc>
          <w:tcPr>
            <w:tcW w:w="1218" w:type="dxa"/>
            <w:tcBorders>
              <w:top w:val="nil"/>
              <w:left w:val="nil"/>
              <w:bottom w:val="single" w:sz="4" w:space="0" w:color="auto"/>
              <w:right w:val="single" w:sz="4" w:space="0" w:color="auto"/>
            </w:tcBorders>
            <w:shd w:val="clear" w:color="auto" w:fill="auto"/>
            <w:noWrap/>
            <w:vAlign w:val="bottom"/>
            <w:hideMark/>
          </w:tcPr>
          <w:p w14:paraId="5638388F"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17138</w:t>
            </w:r>
          </w:p>
        </w:tc>
        <w:tc>
          <w:tcPr>
            <w:tcW w:w="1218" w:type="dxa"/>
            <w:tcBorders>
              <w:top w:val="nil"/>
              <w:left w:val="nil"/>
              <w:bottom w:val="single" w:sz="4" w:space="0" w:color="auto"/>
              <w:right w:val="single" w:sz="4" w:space="0" w:color="auto"/>
            </w:tcBorders>
            <w:shd w:val="clear" w:color="auto" w:fill="auto"/>
            <w:noWrap/>
            <w:vAlign w:val="bottom"/>
            <w:hideMark/>
          </w:tcPr>
          <w:p w14:paraId="45DE9765"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14350</w:t>
            </w:r>
          </w:p>
        </w:tc>
        <w:tc>
          <w:tcPr>
            <w:tcW w:w="1218" w:type="dxa"/>
            <w:tcBorders>
              <w:top w:val="nil"/>
              <w:left w:val="nil"/>
              <w:bottom w:val="single" w:sz="4" w:space="0" w:color="auto"/>
              <w:right w:val="single" w:sz="4" w:space="0" w:color="auto"/>
            </w:tcBorders>
            <w:shd w:val="clear" w:color="auto" w:fill="auto"/>
            <w:noWrap/>
            <w:vAlign w:val="bottom"/>
            <w:hideMark/>
          </w:tcPr>
          <w:p w14:paraId="0762E88B"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15470</w:t>
            </w:r>
          </w:p>
        </w:tc>
      </w:tr>
      <w:tr w:rsidR="00612252" w:rsidRPr="00612252" w14:paraId="30A6F797" w14:textId="77777777" w:rsidTr="001569CB">
        <w:trPr>
          <w:trHeight w:val="290"/>
        </w:trPr>
        <w:tc>
          <w:tcPr>
            <w:tcW w:w="2860" w:type="dxa"/>
            <w:tcBorders>
              <w:top w:val="nil"/>
              <w:left w:val="single" w:sz="4" w:space="0" w:color="auto"/>
              <w:bottom w:val="single" w:sz="4" w:space="0" w:color="auto"/>
              <w:right w:val="single" w:sz="4" w:space="0" w:color="auto"/>
            </w:tcBorders>
            <w:shd w:val="clear" w:color="000000" w:fill="BDD7EE"/>
            <w:noWrap/>
            <w:vAlign w:val="bottom"/>
            <w:hideMark/>
          </w:tcPr>
          <w:p w14:paraId="5A7713D6" w14:textId="77777777" w:rsidR="00612252" w:rsidRPr="00612252" w:rsidRDefault="00612252" w:rsidP="00612252">
            <w:pPr>
              <w:spacing w:before="0" w:after="0" w:line="240" w:lineRule="auto"/>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Percentage paid within 30 days</w:t>
            </w:r>
          </w:p>
        </w:tc>
        <w:tc>
          <w:tcPr>
            <w:tcW w:w="1218" w:type="dxa"/>
            <w:tcBorders>
              <w:top w:val="nil"/>
              <w:left w:val="nil"/>
              <w:bottom w:val="single" w:sz="4" w:space="0" w:color="auto"/>
              <w:right w:val="single" w:sz="4" w:space="0" w:color="auto"/>
            </w:tcBorders>
            <w:shd w:val="clear" w:color="auto" w:fill="auto"/>
            <w:noWrap/>
            <w:vAlign w:val="bottom"/>
            <w:hideMark/>
          </w:tcPr>
          <w:p w14:paraId="2540CF49"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94.22</w:t>
            </w:r>
          </w:p>
        </w:tc>
        <w:tc>
          <w:tcPr>
            <w:tcW w:w="1218" w:type="dxa"/>
            <w:tcBorders>
              <w:top w:val="nil"/>
              <w:left w:val="nil"/>
              <w:bottom w:val="single" w:sz="4" w:space="0" w:color="auto"/>
              <w:right w:val="single" w:sz="4" w:space="0" w:color="auto"/>
            </w:tcBorders>
            <w:shd w:val="clear" w:color="auto" w:fill="auto"/>
            <w:noWrap/>
            <w:vAlign w:val="bottom"/>
            <w:hideMark/>
          </w:tcPr>
          <w:p w14:paraId="425CF57E"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92.68</w:t>
            </w:r>
          </w:p>
        </w:tc>
        <w:tc>
          <w:tcPr>
            <w:tcW w:w="1218" w:type="dxa"/>
            <w:tcBorders>
              <w:top w:val="nil"/>
              <w:left w:val="nil"/>
              <w:bottom w:val="single" w:sz="4" w:space="0" w:color="auto"/>
              <w:right w:val="single" w:sz="4" w:space="0" w:color="auto"/>
            </w:tcBorders>
            <w:shd w:val="clear" w:color="auto" w:fill="auto"/>
            <w:noWrap/>
            <w:vAlign w:val="bottom"/>
            <w:hideMark/>
          </w:tcPr>
          <w:p w14:paraId="0342B1AD" w14:textId="77777777" w:rsidR="00612252" w:rsidRPr="00612252" w:rsidRDefault="00612252" w:rsidP="00612252">
            <w:pPr>
              <w:spacing w:before="0" w:after="0" w:line="240" w:lineRule="auto"/>
              <w:jc w:val="right"/>
              <w:rPr>
                <w:rFonts w:ascii="Calibri" w:eastAsia="Times New Roman" w:hAnsi="Calibri" w:cs="Calibri"/>
                <w:color w:val="000000"/>
                <w:sz w:val="22"/>
                <w:szCs w:val="22"/>
                <w:lang w:eastAsia="en-GB"/>
              </w:rPr>
            </w:pPr>
            <w:r w:rsidRPr="00612252">
              <w:rPr>
                <w:rFonts w:ascii="Calibri" w:eastAsia="Times New Roman" w:hAnsi="Calibri" w:cs="Calibri"/>
                <w:color w:val="000000"/>
                <w:sz w:val="22"/>
                <w:szCs w:val="22"/>
                <w:lang w:eastAsia="en-GB"/>
              </w:rPr>
              <w:t>92.73</w:t>
            </w:r>
          </w:p>
        </w:tc>
      </w:tr>
    </w:tbl>
    <w:p w14:paraId="1075291D" w14:textId="77777777" w:rsidR="00612252" w:rsidRDefault="00612252" w:rsidP="002875F7"/>
    <w:p w14:paraId="79B6EC10" w14:textId="77777777" w:rsidR="00215F34" w:rsidRDefault="00F40F83" w:rsidP="008144A3">
      <w:pPr>
        <w:pStyle w:val="Heading1"/>
      </w:pPr>
      <w:bookmarkStart w:id="24" w:name="_Toc117766933"/>
      <w:r>
        <w:t>6</w:t>
      </w:r>
      <w:r w:rsidRPr="00325629">
        <w:t xml:space="preserve"> </w:t>
      </w:r>
      <w:r w:rsidR="00215F34" w:rsidRPr="00325629">
        <w:t>Contract management</w:t>
      </w:r>
      <w:bookmarkEnd w:id="24"/>
    </w:p>
    <w:p w14:paraId="798B1A4B" w14:textId="77777777" w:rsidR="00ED357A" w:rsidRDefault="00ED357A" w:rsidP="00215F34">
      <w:r w:rsidRPr="00B03165">
        <w:t>The</w:t>
      </w:r>
      <w:r w:rsidR="00215F34" w:rsidRPr="00B03165">
        <w:t xml:space="preserve"> process of managing agreements from their creation through to their execution by the chosen party, and to the eventual termination of the contract.</w:t>
      </w:r>
    </w:p>
    <w:p w14:paraId="687CB272" w14:textId="77777777" w:rsidR="00ED357A" w:rsidRDefault="00215F34" w:rsidP="00215F34">
      <w:r>
        <w:t xml:space="preserve">To deliver an effective, efficient procurement service the team have the following capabilities and </w:t>
      </w:r>
      <w:r w:rsidR="00AF1CD2">
        <w:t>are</w:t>
      </w:r>
      <w:r>
        <w:t xml:space="preserve"> able to introduce a higher level of contract management to all </w:t>
      </w:r>
      <w:r w:rsidR="00FE6D34">
        <w:t>C</w:t>
      </w:r>
      <w:r>
        <w:t xml:space="preserve">ouncil contract managers.  </w:t>
      </w:r>
    </w:p>
    <w:p w14:paraId="12D69B5B" w14:textId="77777777" w:rsidR="00215F34" w:rsidRDefault="00215F34" w:rsidP="00215F34">
      <w:pPr>
        <w:rPr>
          <w:b/>
          <w:bCs/>
          <w:color w:val="374C80" w:themeColor="accent1" w:themeShade="BF"/>
          <w:sz w:val="32"/>
          <w:szCs w:val="32"/>
        </w:rPr>
      </w:pPr>
      <w:r w:rsidRPr="00B03165">
        <w:rPr>
          <w:b/>
          <w:bCs/>
          <w:noProof/>
          <w:color w:val="374C80" w:themeColor="accent1" w:themeShade="BF"/>
          <w:sz w:val="32"/>
          <w:szCs w:val="32"/>
          <w:lang w:eastAsia="en-GB"/>
        </w:rPr>
        <w:drawing>
          <wp:inline distT="0" distB="0" distL="0" distR="0" wp14:anchorId="45AF997A" wp14:editId="7C9FC744">
            <wp:extent cx="4030232" cy="226695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4370" cy="2291777"/>
                    </a:xfrm>
                    <a:prstGeom prst="rect">
                      <a:avLst/>
                    </a:prstGeom>
                  </pic:spPr>
                </pic:pic>
              </a:graphicData>
            </a:graphic>
          </wp:inline>
        </w:drawing>
      </w:r>
    </w:p>
    <w:p w14:paraId="4E12A0AA" w14:textId="77777777" w:rsidR="00215F34" w:rsidRPr="00AD7A7A" w:rsidRDefault="00ED357A" w:rsidP="00215F34">
      <w:r>
        <w:t xml:space="preserve">To </w:t>
      </w:r>
      <w:r w:rsidR="004C5E58">
        <w:t xml:space="preserve">aid </w:t>
      </w:r>
      <w:r>
        <w:t>devolved procurement t</w:t>
      </w:r>
      <w:r w:rsidR="00215F34">
        <w:t>he Procurement Team have introduced a number of tools to support the contract management lifecycle.</w:t>
      </w:r>
    </w:p>
    <w:p w14:paraId="3BAA72D9" w14:textId="77777777" w:rsidR="00215F34" w:rsidRDefault="00215F34" w:rsidP="00215F34">
      <w:pPr>
        <w:rPr>
          <w:rFonts w:cstheme="minorHAnsi"/>
        </w:rPr>
      </w:pPr>
      <w:r w:rsidRPr="00B03165">
        <w:rPr>
          <w:rFonts w:cstheme="minorHAnsi"/>
        </w:rPr>
        <w:t>Procurement will continually review and update the documents in line with external</w:t>
      </w:r>
      <w:r>
        <w:rPr>
          <w:rFonts w:cstheme="minorHAnsi"/>
        </w:rPr>
        <w:t xml:space="preserve"> Regulations and internal rules and will work with service areas to ensure that contract managers understand the requirements from both the buyer and supplier perspective.</w:t>
      </w:r>
    </w:p>
    <w:p w14:paraId="1504C78D" w14:textId="77777777" w:rsidR="009C69DC" w:rsidRDefault="00F40F83" w:rsidP="00154B20">
      <w:pPr>
        <w:pStyle w:val="Heading1"/>
      </w:pPr>
      <w:bookmarkStart w:id="25" w:name="_Toc117766934"/>
      <w:r>
        <w:t>7</w:t>
      </w:r>
      <w:r w:rsidR="004D6178">
        <w:t>.</w:t>
      </w:r>
      <w:r w:rsidR="00B11FEF">
        <w:t xml:space="preserve"> </w:t>
      </w:r>
      <w:r w:rsidR="009C69DC" w:rsidRPr="00EA4C25">
        <w:t>Social Value</w:t>
      </w:r>
      <w:bookmarkEnd w:id="25"/>
    </w:p>
    <w:p w14:paraId="73682218" w14:textId="77777777" w:rsidR="00F732E6" w:rsidRDefault="00B11FEF" w:rsidP="00B11FEF">
      <w:pPr>
        <w:rPr>
          <w:bCs/>
        </w:rPr>
      </w:pPr>
      <w:r w:rsidRPr="008F3339">
        <w:rPr>
          <w:bCs/>
          <w:lang w:val="en-US"/>
        </w:rPr>
        <w:t xml:space="preserve">The Public Services (Social Value) Act </w:t>
      </w:r>
      <w:r>
        <w:rPr>
          <w:bCs/>
          <w:lang w:val="en-US"/>
        </w:rPr>
        <w:t>2012 which came into force on 31</w:t>
      </w:r>
      <w:r w:rsidRPr="00DB3820">
        <w:rPr>
          <w:bCs/>
          <w:vertAlign w:val="superscript"/>
          <w:lang w:val="en-US"/>
        </w:rPr>
        <w:t>st</w:t>
      </w:r>
      <w:r>
        <w:rPr>
          <w:bCs/>
          <w:lang w:val="en-US"/>
        </w:rPr>
        <w:t xml:space="preserve"> January 2013 </w:t>
      </w:r>
      <w:r w:rsidRPr="008F3339">
        <w:rPr>
          <w:bCs/>
          <w:lang w:val="en-US"/>
        </w:rPr>
        <w:t xml:space="preserve">applies when a procuring authority in England procures the provision of services, or the provision of services together with the purchase or hire of goods or carrying out of works, that is subject to Part 2 of the Public Contracts Regulations 2015. The Act places a requirement on commissioners to consider the economic, environmental and social benefits of their </w:t>
      </w:r>
      <w:r w:rsidRPr="008F3339">
        <w:rPr>
          <w:bCs/>
        </w:rPr>
        <w:t xml:space="preserve">approaches to procurement. </w:t>
      </w:r>
    </w:p>
    <w:p w14:paraId="7CF0E38F" w14:textId="77777777" w:rsidR="00F732E6" w:rsidRDefault="00F732E6" w:rsidP="00F732E6">
      <w:pPr>
        <w:rPr>
          <w:bCs/>
        </w:rPr>
      </w:pPr>
      <w:r>
        <w:rPr>
          <w:bCs/>
        </w:rPr>
        <w:t>Social value can be defined as the additional benefit to the community from a procurement process over and above the direct purchasing of goods, services and or works.</w:t>
      </w:r>
    </w:p>
    <w:p w14:paraId="4056D411" w14:textId="77777777" w:rsidR="00D33D64" w:rsidRDefault="00D33D64" w:rsidP="00D33D64">
      <w:pPr>
        <w:rPr>
          <w:bCs/>
        </w:rPr>
      </w:pPr>
      <w:r>
        <w:rPr>
          <w:bCs/>
        </w:rPr>
        <w:t>Adopting social value, economic and environmental factors alongside the typical price and quality considerations into procurement processes and procedures, increase the potential for sustainability in a contract.</w:t>
      </w:r>
    </w:p>
    <w:p w14:paraId="5E127866" w14:textId="77777777" w:rsidR="00D33D64" w:rsidRDefault="00D33D64" w:rsidP="00D33D64">
      <w:pPr>
        <w:rPr>
          <w:bCs/>
        </w:rPr>
      </w:pPr>
      <w:r>
        <w:rPr>
          <w:bCs/>
        </w:rPr>
        <w:t>The Council requires quotes and tenders to include a minimum 10% social value weighting (an increase of 5% from the previous procurement strategy) where proportionate and relevant.  Where a supplier proposes to deliver social value as part of a contract, the Council must ensure these commitments are adhered to using suitable KPIs. Procurement will work with commissioning officers and contract managers throughout the procurement lifecycle to incorporate social value completely in the process.</w:t>
      </w:r>
      <w:r w:rsidR="00154B20">
        <w:rPr>
          <w:bCs/>
        </w:rPr>
        <w:t xml:space="preserve">  In the last 2 years there has been significant success and in this</w:t>
      </w:r>
      <w:r w:rsidR="00661E4D">
        <w:rPr>
          <w:bCs/>
        </w:rPr>
        <w:t xml:space="preserve"> new</w:t>
      </w:r>
      <w:r w:rsidR="00154B20">
        <w:rPr>
          <w:bCs/>
        </w:rPr>
        <w:t xml:space="preserve"> strategic period Procurement intend to further increase the commitments and monitoring of social value.</w:t>
      </w:r>
    </w:p>
    <w:p w14:paraId="05A1D44C" w14:textId="77777777" w:rsidR="00F732E6" w:rsidRDefault="00677072" w:rsidP="00F732E6">
      <w:pPr>
        <w:rPr>
          <w:bCs/>
        </w:rPr>
      </w:pPr>
      <w:r>
        <w:rPr>
          <w:bCs/>
        </w:rPr>
        <w:t>To support suppliers Procurement will publish a local</w:t>
      </w:r>
      <w:r w:rsidR="00975DF9">
        <w:rPr>
          <w:bCs/>
        </w:rPr>
        <w:t xml:space="preserve"> Oxford</w:t>
      </w:r>
      <w:r>
        <w:rPr>
          <w:bCs/>
        </w:rPr>
        <w:t xml:space="preserve"> version of the National TOM’s (</w:t>
      </w:r>
      <w:r w:rsidR="008B5A91">
        <w:rPr>
          <w:bCs/>
        </w:rPr>
        <w:t xml:space="preserve">a range  </w:t>
      </w:r>
      <w:r>
        <w:rPr>
          <w:bCs/>
        </w:rPr>
        <w:t xml:space="preserve">of social value themes, outcomes and measures) </w:t>
      </w:r>
      <w:r w:rsidR="00F732E6" w:rsidRPr="00F732E6">
        <w:rPr>
          <w:bCs/>
        </w:rPr>
        <w:t xml:space="preserve">on the </w:t>
      </w:r>
      <w:r>
        <w:rPr>
          <w:bCs/>
        </w:rPr>
        <w:t>in</w:t>
      </w:r>
      <w:r w:rsidR="00D3650C">
        <w:rPr>
          <w:bCs/>
        </w:rPr>
        <w:t>t</w:t>
      </w:r>
      <w:r>
        <w:rPr>
          <w:bCs/>
        </w:rPr>
        <w:t>ernet</w:t>
      </w:r>
      <w:r w:rsidR="00D3650C">
        <w:rPr>
          <w:bCs/>
        </w:rPr>
        <w:t xml:space="preserve"> under ”Selling to the Council”</w:t>
      </w:r>
      <w:r w:rsidR="00F732E6" w:rsidRPr="00F732E6">
        <w:rPr>
          <w:bCs/>
        </w:rPr>
        <w:t xml:space="preserve"> by </w:t>
      </w:r>
      <w:r w:rsidR="00D3650C">
        <w:rPr>
          <w:bCs/>
        </w:rPr>
        <w:t>January</w:t>
      </w:r>
      <w:r w:rsidR="00F732E6" w:rsidRPr="00F732E6">
        <w:rPr>
          <w:bCs/>
        </w:rPr>
        <w:t xml:space="preserve"> 202</w:t>
      </w:r>
      <w:r w:rsidR="00D3650C">
        <w:rPr>
          <w:bCs/>
        </w:rPr>
        <w:t>3 and will offer training and support to potential suppliers to the Council in this area as part of the “How to Tender” workshops.</w:t>
      </w:r>
    </w:p>
    <w:p w14:paraId="2C5A2906" w14:textId="77777777" w:rsidR="00C2710D" w:rsidRPr="00F732E6" w:rsidRDefault="00901BB3" w:rsidP="00F732E6">
      <w:pPr>
        <w:rPr>
          <w:bCs/>
        </w:rPr>
      </w:pPr>
      <w:r>
        <w:rPr>
          <w:bCs/>
        </w:rPr>
        <w:t xml:space="preserve">The </w:t>
      </w:r>
      <w:r w:rsidR="00041740">
        <w:rPr>
          <w:bCs/>
        </w:rPr>
        <w:t>C</w:t>
      </w:r>
      <w:r>
        <w:rPr>
          <w:bCs/>
        </w:rPr>
        <w:t xml:space="preserve">ouncil’s commitment to Community Wealth Building </w:t>
      </w:r>
      <w:r w:rsidR="00C2710D">
        <w:rPr>
          <w:bCs/>
        </w:rPr>
        <w:t xml:space="preserve">and economic inclusion </w:t>
      </w:r>
      <w:r>
        <w:rPr>
          <w:bCs/>
        </w:rPr>
        <w:t xml:space="preserve">also recognises the social value </w:t>
      </w:r>
      <w:r w:rsidR="00C2710D">
        <w:rPr>
          <w:bCs/>
        </w:rPr>
        <w:t xml:space="preserve">inherent in </w:t>
      </w:r>
      <w:r>
        <w:rPr>
          <w:bCs/>
        </w:rPr>
        <w:t xml:space="preserve">spending </w:t>
      </w:r>
      <w:r w:rsidR="00C2710D">
        <w:rPr>
          <w:bCs/>
        </w:rPr>
        <w:t>money within the local economy and through socially purposeful organisations. T</w:t>
      </w:r>
      <w:r>
        <w:rPr>
          <w:bCs/>
        </w:rPr>
        <w:t xml:space="preserve">he council will </w:t>
      </w:r>
      <w:r w:rsidR="00C2710D">
        <w:rPr>
          <w:bCs/>
        </w:rPr>
        <w:t xml:space="preserve">encourage procuring officers </w:t>
      </w:r>
      <w:r>
        <w:rPr>
          <w:bCs/>
        </w:rPr>
        <w:t>to</w:t>
      </w:r>
      <w:r w:rsidR="00C2710D">
        <w:rPr>
          <w:bCs/>
        </w:rPr>
        <w:t xml:space="preserve"> use legally compliant</w:t>
      </w:r>
      <w:r>
        <w:rPr>
          <w:bCs/>
        </w:rPr>
        <w:t xml:space="preserve"> </w:t>
      </w:r>
      <w:r w:rsidR="00C2710D">
        <w:rPr>
          <w:bCs/>
        </w:rPr>
        <w:t xml:space="preserve">processes to open up tender opportunities for </w:t>
      </w:r>
      <w:r>
        <w:rPr>
          <w:bCs/>
        </w:rPr>
        <w:t xml:space="preserve">local SMEs, and VCSE organisations </w:t>
      </w:r>
      <w:r w:rsidR="00C2710D">
        <w:rPr>
          <w:bCs/>
        </w:rPr>
        <w:t>(such as reserve contracts and direct awards for low</w:t>
      </w:r>
      <w:r w:rsidR="006B094A">
        <w:rPr>
          <w:bCs/>
        </w:rPr>
        <w:t>er</w:t>
      </w:r>
      <w:r w:rsidR="00C2710D">
        <w:rPr>
          <w:bCs/>
        </w:rPr>
        <w:t xml:space="preserve"> value contracts) where it is possible to demonstrate that value for money and quality thresholds can be met.</w:t>
      </w:r>
    </w:p>
    <w:p w14:paraId="19E4949D" w14:textId="77777777" w:rsidR="00F732E6" w:rsidRPr="00F732E6" w:rsidRDefault="00F732E6" w:rsidP="00F732E6">
      <w:pPr>
        <w:rPr>
          <w:bCs/>
        </w:rPr>
      </w:pPr>
      <w:r w:rsidRPr="00F732E6">
        <w:rPr>
          <w:bCs/>
        </w:rPr>
        <w:t xml:space="preserve">Appendix 2 provides commissioning officers a social value flowchart </w:t>
      </w:r>
      <w:r w:rsidR="00D3650C">
        <w:rPr>
          <w:bCs/>
        </w:rPr>
        <w:t xml:space="preserve">which they will consider </w:t>
      </w:r>
      <w:r w:rsidRPr="00F732E6">
        <w:rPr>
          <w:bCs/>
        </w:rPr>
        <w:t>for all tenders.</w:t>
      </w:r>
    </w:p>
    <w:p w14:paraId="7125FECF" w14:textId="77777777" w:rsidR="00694491" w:rsidRPr="00F732E6" w:rsidRDefault="00694491" w:rsidP="00694491">
      <w:pPr>
        <w:rPr>
          <w:rFonts w:cstheme="minorHAnsi"/>
          <w:b/>
        </w:rPr>
      </w:pPr>
      <w:r w:rsidRPr="00F732E6">
        <w:rPr>
          <w:rFonts w:cstheme="minorHAnsi"/>
          <w:b/>
        </w:rPr>
        <w:t xml:space="preserve">Oxford Living Wage </w:t>
      </w:r>
    </w:p>
    <w:p w14:paraId="59AD38BE" w14:textId="2DC60A7A" w:rsidR="00694491" w:rsidRDefault="00D33D64" w:rsidP="001753DB">
      <w:pPr>
        <w:rPr>
          <w:bCs/>
        </w:rPr>
      </w:pPr>
      <w:r>
        <w:rPr>
          <w:bCs/>
        </w:rPr>
        <w:t xml:space="preserve">The Council incorporates the Oxford Living Wage or National Living Wage Foundation rate into its standard </w:t>
      </w:r>
      <w:r w:rsidR="00694491">
        <w:rPr>
          <w:bCs/>
        </w:rPr>
        <w:t>t</w:t>
      </w:r>
      <w:r>
        <w:rPr>
          <w:bCs/>
        </w:rPr>
        <w:t>emplate documents ensuring that local suppliers pay a fair wage to employees</w:t>
      </w:r>
      <w:r w:rsidR="00F732E6">
        <w:rPr>
          <w:bCs/>
        </w:rPr>
        <w:t xml:space="preserve">. </w:t>
      </w:r>
      <w:r w:rsidR="001753DB">
        <w:rPr>
          <w:bCs/>
        </w:rPr>
        <w:t xml:space="preserve">The Council cannot legally </w:t>
      </w:r>
      <w:r w:rsidR="00F732E6">
        <w:rPr>
          <w:bCs/>
        </w:rPr>
        <w:t>enforce this</w:t>
      </w:r>
      <w:r w:rsidR="00974A76">
        <w:rPr>
          <w:bCs/>
        </w:rPr>
        <w:t xml:space="preserve">, </w:t>
      </w:r>
      <w:r w:rsidR="00F732E6">
        <w:rPr>
          <w:bCs/>
        </w:rPr>
        <w:t>however it is taken into consideration when reviewing the tenderers submitted costs.</w:t>
      </w:r>
    </w:p>
    <w:p w14:paraId="6566C071" w14:textId="77777777" w:rsidR="009C69DC" w:rsidRPr="00EA4C25" w:rsidRDefault="00F40F83" w:rsidP="00661E4D">
      <w:pPr>
        <w:pStyle w:val="Heading1"/>
      </w:pPr>
      <w:bookmarkStart w:id="26" w:name="_Toc117766935"/>
      <w:r>
        <w:t xml:space="preserve">8 </w:t>
      </w:r>
      <w:r w:rsidR="009C69DC" w:rsidRPr="00EA4C25">
        <w:t>Sustainable Procurement</w:t>
      </w:r>
      <w:bookmarkEnd w:id="26"/>
    </w:p>
    <w:p w14:paraId="31F18CB6" w14:textId="77777777" w:rsidR="006C22DF" w:rsidRDefault="006C22DF" w:rsidP="00254D07">
      <w:pPr>
        <w:rPr>
          <w:bCs/>
        </w:rPr>
      </w:pPr>
      <w:r>
        <w:rPr>
          <w:bCs/>
        </w:rPr>
        <w:t>Sustainable procurement is the act of adopting social, economic and environmental factors alongside the usual price and quality consideration by the organisation handling the procurement process and procedures. The approach seeks to ensures that the organisation meet their need for goods, services, works and utilities in a way that achieves value for money on a whole life basis in terms of generation benefits not only to the organisation but also to society and the economy whilst minimising damage to the environment.</w:t>
      </w:r>
    </w:p>
    <w:p w14:paraId="1AAFFDE8" w14:textId="77777777" w:rsidR="00254D07" w:rsidRDefault="00254D07" w:rsidP="00254D07">
      <w:pPr>
        <w:rPr>
          <w:bCs/>
        </w:rPr>
      </w:pPr>
      <w:r w:rsidRPr="008F3339">
        <w:rPr>
          <w:bCs/>
        </w:rPr>
        <w:t xml:space="preserve">A sustainable Procurement Guide </w:t>
      </w:r>
      <w:r w:rsidR="00A07682">
        <w:rPr>
          <w:bCs/>
        </w:rPr>
        <w:t xml:space="preserve">has been developed </w:t>
      </w:r>
      <w:r w:rsidRPr="008F3339">
        <w:rPr>
          <w:bCs/>
        </w:rPr>
        <w:t>which incorporates what sustainable procurement is, why it matters, consideration in the procurement process, a checklist of considerations and how to manage sustainability post award of Contract.</w:t>
      </w:r>
    </w:p>
    <w:p w14:paraId="6CAC7450" w14:textId="77777777" w:rsidR="00254D07" w:rsidRDefault="00254D07" w:rsidP="00254D07">
      <w:pPr>
        <w:rPr>
          <w:bCs/>
        </w:rPr>
      </w:pPr>
      <w:r>
        <w:rPr>
          <w:bCs/>
        </w:rPr>
        <w:t xml:space="preserve">An extract from the guide is detailed in Appendix </w:t>
      </w:r>
      <w:r w:rsidR="00A07682">
        <w:rPr>
          <w:bCs/>
        </w:rPr>
        <w:t>2.2 and must</w:t>
      </w:r>
      <w:r>
        <w:rPr>
          <w:bCs/>
        </w:rPr>
        <w:t xml:space="preserve"> be considered for all procurements with a value in excess of £5m per annum.  </w:t>
      </w:r>
    </w:p>
    <w:p w14:paraId="2EF70265" w14:textId="2D6B6BCE" w:rsidR="00254D07" w:rsidRPr="001D0D76" w:rsidRDefault="00254D07" w:rsidP="00254D07">
      <w:pPr>
        <w:jc w:val="both"/>
        <w:rPr>
          <w:rFonts w:cstheme="minorHAnsi"/>
        </w:rPr>
      </w:pPr>
      <w:r>
        <w:rPr>
          <w:rFonts w:cstheme="minorHAnsi"/>
        </w:rPr>
        <w:t xml:space="preserve">It is hoped that with the </w:t>
      </w:r>
      <w:r w:rsidR="00974A76">
        <w:rPr>
          <w:rFonts w:cstheme="minorHAnsi"/>
        </w:rPr>
        <w:t>C</w:t>
      </w:r>
      <w:r>
        <w:rPr>
          <w:rFonts w:cstheme="minorHAnsi"/>
        </w:rPr>
        <w:t>ouncil</w:t>
      </w:r>
      <w:r w:rsidR="00974A76">
        <w:rPr>
          <w:rFonts w:cstheme="minorHAnsi"/>
        </w:rPr>
        <w:t>’</w:t>
      </w:r>
      <w:r>
        <w:rPr>
          <w:rFonts w:cstheme="minorHAnsi"/>
        </w:rPr>
        <w:t xml:space="preserve">s drive towards a zero carbon </w:t>
      </w:r>
      <w:r w:rsidR="00974A76">
        <w:rPr>
          <w:rFonts w:cstheme="minorHAnsi"/>
        </w:rPr>
        <w:t>O</w:t>
      </w:r>
      <w:r>
        <w:rPr>
          <w:rFonts w:cstheme="minorHAnsi"/>
        </w:rPr>
        <w:t>xford this should also be considered in contracts with a lower value.</w:t>
      </w:r>
    </w:p>
    <w:p w14:paraId="5523B4BB" w14:textId="77777777" w:rsidR="009C69DC" w:rsidRPr="00EA4C25" w:rsidRDefault="00F40F83" w:rsidP="00661E4D">
      <w:pPr>
        <w:pStyle w:val="Heading1"/>
      </w:pPr>
      <w:bookmarkStart w:id="27" w:name="_Toc117766936"/>
      <w:r>
        <w:t xml:space="preserve">9 </w:t>
      </w:r>
      <w:r w:rsidR="009C69DC" w:rsidRPr="00EA4C25">
        <w:t>Ethical Procur</w:t>
      </w:r>
      <w:r w:rsidR="00010C96" w:rsidRPr="00EA4C25">
        <w:t>e</w:t>
      </w:r>
      <w:r w:rsidR="009C69DC" w:rsidRPr="00EA4C25">
        <w:t>ment</w:t>
      </w:r>
      <w:bookmarkEnd w:id="27"/>
    </w:p>
    <w:p w14:paraId="55D9542E" w14:textId="77777777" w:rsidR="008E0304" w:rsidRDefault="008E0304" w:rsidP="00311205">
      <w:r>
        <w:t xml:space="preserve">Ethical procurement is procurement which ensures that suppliers and the organisations in their supply chains are monitored on a regular basis to assess whether </w:t>
      </w:r>
      <w:r w:rsidR="00A51F40">
        <w:t>workers’</w:t>
      </w:r>
      <w:r>
        <w:t xml:space="preserve"> rights and labour conditions conform to the International Labour </w:t>
      </w:r>
      <w:r w:rsidR="00100C1B">
        <w:t>Organisation</w:t>
      </w:r>
      <w:r>
        <w:t xml:space="preserve"> core co</w:t>
      </w:r>
      <w:r w:rsidR="00100C1B">
        <w:t xml:space="preserve">nventions. Ethical procurement should ensure that there is no disadvantage to those working or living on or near a supply site and that the price paid for the product reflects a fair and equitable market value. </w:t>
      </w:r>
    </w:p>
    <w:p w14:paraId="0D7F5848" w14:textId="77777777" w:rsidR="00311205" w:rsidRPr="006437CD" w:rsidRDefault="00233EB0" w:rsidP="00311205">
      <w:pPr>
        <w:rPr>
          <w:rFonts w:ascii="Calibri" w:hAnsi="Calibri" w:cs="Calibri"/>
        </w:rPr>
      </w:pPr>
      <w:hyperlink r:id="rId25" w:history="1">
        <w:r w:rsidR="00A12261" w:rsidRPr="006437CD">
          <w:rPr>
            <w:rStyle w:val="Hyperlink"/>
            <w:rFonts w:ascii="Calibri" w:hAnsi="Calibri" w:cs="Calibri"/>
            <w:lang w:eastAsia="en-GB"/>
          </w:rPr>
          <w:t>The Oxford City Council Equality, Diversity and Inclusion Strategy, March 2022</w:t>
        </w:r>
      </w:hyperlink>
      <w:r w:rsidR="00A12261" w:rsidRPr="006437CD">
        <w:rPr>
          <w:rStyle w:val="Hyperlink"/>
          <w:rFonts w:ascii="Calibri" w:hAnsi="Calibri" w:cs="Calibri"/>
          <w:lang w:eastAsia="en-GB"/>
        </w:rPr>
        <w:t xml:space="preserve"> </w:t>
      </w:r>
      <w:r w:rsidR="00A12261" w:rsidRPr="00661E4D">
        <w:rPr>
          <w:rFonts w:ascii="Calibri" w:hAnsi="Calibri" w:cs="Calibri"/>
          <w:bCs/>
          <w:lang w:eastAsia="en-GB"/>
        </w:rPr>
        <w:t xml:space="preserve">provides a framework for how procurement can adapt its supply chain initiatives to meet equality criteria as enshrined in the Equality Act 2010 and the Oxford City Council EDI Strategy. </w:t>
      </w:r>
      <w:r w:rsidR="00311205" w:rsidRPr="006437CD">
        <w:rPr>
          <w:rFonts w:ascii="Calibri" w:hAnsi="Calibri" w:cs="Calibri"/>
        </w:rPr>
        <w:t>To support the Equality Diversity and Inclusion team by embedding principles in the procurement process</w:t>
      </w:r>
    </w:p>
    <w:p w14:paraId="696A8763" w14:textId="18ADCDB7" w:rsidR="00311205" w:rsidRPr="006437CD" w:rsidRDefault="00311205" w:rsidP="00311205">
      <w:pPr>
        <w:pStyle w:val="ListParagraph"/>
        <w:numPr>
          <w:ilvl w:val="0"/>
          <w:numId w:val="3"/>
        </w:numPr>
        <w:rPr>
          <w:rFonts w:ascii="Calibri" w:hAnsi="Calibri" w:cs="Calibri"/>
          <w:sz w:val="20"/>
          <w:szCs w:val="20"/>
        </w:rPr>
      </w:pPr>
      <w:r w:rsidRPr="006437CD">
        <w:rPr>
          <w:rFonts w:ascii="Calibri" w:hAnsi="Calibri" w:cs="Calibri"/>
          <w:sz w:val="20"/>
          <w:szCs w:val="20"/>
        </w:rPr>
        <w:t xml:space="preserve">An EDI Procurement Guide </w:t>
      </w:r>
      <w:r w:rsidR="006B788D">
        <w:rPr>
          <w:rFonts w:ascii="Calibri" w:hAnsi="Calibri" w:cs="Calibri"/>
          <w:sz w:val="20"/>
          <w:szCs w:val="20"/>
        </w:rPr>
        <w:t>an extract of which is shown in Appendix 2</w:t>
      </w:r>
      <w:r w:rsidR="00BB7F51">
        <w:rPr>
          <w:rFonts w:ascii="Calibri" w:hAnsi="Calibri" w:cs="Calibri"/>
          <w:sz w:val="20"/>
          <w:szCs w:val="20"/>
        </w:rPr>
        <w:t xml:space="preserve"> </w:t>
      </w:r>
      <w:r w:rsidRPr="006437CD">
        <w:rPr>
          <w:rFonts w:ascii="Calibri" w:hAnsi="Calibri" w:cs="Calibri"/>
          <w:sz w:val="20"/>
          <w:szCs w:val="20"/>
        </w:rPr>
        <w:t xml:space="preserve">has been developed alongside Equalities steering group </w:t>
      </w:r>
    </w:p>
    <w:p w14:paraId="36D8DAE0" w14:textId="77777777" w:rsidR="00A12261" w:rsidRDefault="00311205" w:rsidP="00311205">
      <w:pPr>
        <w:pStyle w:val="ListParagraph"/>
        <w:numPr>
          <w:ilvl w:val="0"/>
          <w:numId w:val="3"/>
        </w:numPr>
        <w:rPr>
          <w:rFonts w:ascii="Calibri" w:hAnsi="Calibri" w:cs="Calibri"/>
          <w:sz w:val="20"/>
          <w:szCs w:val="20"/>
        </w:rPr>
      </w:pPr>
      <w:r>
        <w:rPr>
          <w:rFonts w:ascii="Calibri" w:hAnsi="Calibri" w:cs="Calibri"/>
          <w:sz w:val="20"/>
          <w:szCs w:val="20"/>
        </w:rPr>
        <w:t>Procurement have embedded</w:t>
      </w:r>
      <w:r w:rsidRPr="006437CD">
        <w:rPr>
          <w:rFonts w:ascii="Calibri" w:hAnsi="Calibri" w:cs="Calibri"/>
          <w:sz w:val="20"/>
          <w:szCs w:val="20"/>
        </w:rPr>
        <w:t xml:space="preserve"> clauses in the standard council tender documents</w:t>
      </w:r>
      <w:r>
        <w:rPr>
          <w:rFonts w:ascii="Calibri" w:hAnsi="Calibri" w:cs="Calibri"/>
          <w:sz w:val="20"/>
          <w:szCs w:val="20"/>
        </w:rPr>
        <w:t xml:space="preserve"> </w:t>
      </w:r>
      <w:r w:rsidR="00A12261">
        <w:rPr>
          <w:rFonts w:ascii="Calibri" w:hAnsi="Calibri" w:cs="Calibri"/>
          <w:sz w:val="20"/>
          <w:szCs w:val="20"/>
        </w:rPr>
        <w:t>including the following questions</w:t>
      </w:r>
    </w:p>
    <w:p w14:paraId="38518B28" w14:textId="77777777" w:rsidR="00311205" w:rsidRPr="00432CA2" w:rsidRDefault="00A12261" w:rsidP="00432CA2">
      <w:pPr>
        <w:pStyle w:val="ListParagraph"/>
        <w:numPr>
          <w:ilvl w:val="1"/>
          <w:numId w:val="3"/>
        </w:numPr>
        <w:rPr>
          <w:rFonts w:asciiTheme="minorHAnsi" w:hAnsiTheme="minorHAnsi" w:cstheme="minorHAnsi"/>
          <w:sz w:val="20"/>
          <w:szCs w:val="20"/>
        </w:rPr>
      </w:pPr>
      <w:r w:rsidRPr="00432CA2">
        <w:rPr>
          <w:rFonts w:asciiTheme="minorHAnsi" w:hAnsiTheme="minorHAnsi" w:cstheme="minorHAnsi"/>
          <w:sz w:val="20"/>
          <w:szCs w:val="20"/>
        </w:rPr>
        <w:t>As an organisation, do you publish/gather gender pay-gap data and information?</w:t>
      </w:r>
    </w:p>
    <w:p w14:paraId="2B5457D2" w14:textId="77777777" w:rsidR="00A12261" w:rsidRPr="00432CA2" w:rsidRDefault="00A12261" w:rsidP="00432CA2">
      <w:pPr>
        <w:pStyle w:val="ListParagraph"/>
        <w:numPr>
          <w:ilvl w:val="1"/>
          <w:numId w:val="3"/>
        </w:numPr>
        <w:rPr>
          <w:rFonts w:asciiTheme="minorHAnsi" w:hAnsiTheme="minorHAnsi" w:cstheme="minorHAnsi"/>
          <w:sz w:val="20"/>
          <w:szCs w:val="20"/>
        </w:rPr>
      </w:pPr>
      <w:r w:rsidRPr="00432CA2">
        <w:rPr>
          <w:rFonts w:asciiTheme="minorHAnsi" w:hAnsiTheme="minorHAnsi" w:cstheme="minorHAnsi"/>
          <w:sz w:val="20"/>
          <w:szCs w:val="20"/>
        </w:rPr>
        <w:t xml:space="preserve">Do you provide work-place adjustments for staff with disability (as defined in the Equality Act 2010) such as mobility requirements, technological support, </w:t>
      </w:r>
      <w:r w:rsidR="00A51F40" w:rsidRPr="00432CA2">
        <w:rPr>
          <w:rFonts w:asciiTheme="minorHAnsi" w:hAnsiTheme="minorHAnsi" w:cstheme="minorHAnsi"/>
          <w:sz w:val="20"/>
          <w:szCs w:val="20"/>
        </w:rPr>
        <w:t>etc.</w:t>
      </w:r>
      <w:r w:rsidR="00432CA2" w:rsidRPr="00432CA2">
        <w:rPr>
          <w:rFonts w:asciiTheme="minorHAnsi" w:hAnsiTheme="minorHAnsi" w:cstheme="minorHAnsi"/>
          <w:sz w:val="20"/>
          <w:szCs w:val="20"/>
        </w:rPr>
        <w:t>?</w:t>
      </w:r>
    </w:p>
    <w:p w14:paraId="5DB9E868" w14:textId="77777777" w:rsidR="00A12261" w:rsidRDefault="00A12261" w:rsidP="00432CA2">
      <w:pPr>
        <w:pStyle w:val="ListParagraph"/>
        <w:numPr>
          <w:ilvl w:val="1"/>
          <w:numId w:val="3"/>
        </w:numPr>
        <w:rPr>
          <w:rFonts w:asciiTheme="minorHAnsi" w:hAnsiTheme="minorHAnsi" w:cstheme="minorHAnsi"/>
          <w:sz w:val="20"/>
          <w:szCs w:val="20"/>
        </w:rPr>
      </w:pPr>
      <w:r w:rsidRPr="00432CA2">
        <w:rPr>
          <w:rFonts w:asciiTheme="minorHAnsi" w:hAnsiTheme="minorHAnsi" w:cstheme="minorHAnsi"/>
          <w:sz w:val="20"/>
          <w:szCs w:val="20"/>
        </w:rPr>
        <w:t>Do you have process in place that monitors and responds to complaints related to discrimination?</w:t>
      </w:r>
    </w:p>
    <w:p w14:paraId="4015C4CF" w14:textId="77777777" w:rsidR="00B570D8" w:rsidRDefault="008E0304" w:rsidP="00B570D8">
      <w:pPr>
        <w:rPr>
          <w:rFonts w:cstheme="minorHAnsi"/>
        </w:rPr>
      </w:pPr>
      <w:r>
        <w:rPr>
          <w:rFonts w:cstheme="minorHAnsi"/>
        </w:rPr>
        <w:t>If the supplier has not demonstrated to our satisfaction that they abide by these rules or have not made adjustments to rectify non-compliance the Council would reserve the right to reject the bid</w:t>
      </w:r>
      <w:r w:rsidR="00F950C5">
        <w:rPr>
          <w:rFonts w:cstheme="minorHAnsi"/>
        </w:rPr>
        <w:t>.</w:t>
      </w:r>
    </w:p>
    <w:p w14:paraId="456254EE" w14:textId="7D16658E" w:rsidR="007B2B2C" w:rsidRDefault="007B2B2C" w:rsidP="00B570D8">
      <w:pPr>
        <w:rPr>
          <w:rFonts w:cstheme="minorHAnsi"/>
          <w:b/>
        </w:rPr>
      </w:pPr>
      <w:r w:rsidRPr="007B2B2C">
        <w:rPr>
          <w:rFonts w:cstheme="minorHAnsi"/>
          <w:b/>
        </w:rPr>
        <w:t>Modern Slavery</w:t>
      </w:r>
      <w:r>
        <w:rPr>
          <w:rFonts w:cstheme="minorHAnsi"/>
          <w:b/>
        </w:rPr>
        <w:t xml:space="preserve"> Act 2015</w:t>
      </w:r>
    </w:p>
    <w:p w14:paraId="5F42EF92" w14:textId="7D1F60B3" w:rsidR="007B2B2C" w:rsidRDefault="007B2B2C" w:rsidP="00B570D8">
      <w:pPr>
        <w:rPr>
          <w:rFonts w:cstheme="minorHAnsi"/>
          <w:shd w:val="clear" w:color="auto" w:fill="FFFFFF"/>
        </w:rPr>
      </w:pPr>
      <w:r w:rsidRPr="007B2B2C">
        <w:rPr>
          <w:rFonts w:cstheme="minorHAnsi"/>
          <w:shd w:val="clear" w:color="auto" w:fill="FFFFFF"/>
        </w:rPr>
        <w:t>The modern slavery regulations came into force on 29 October 2015. The Modern Slavery Act requires businesses in the UK to prepare a slavery and human trafficking statement for each financial year. The requirement to prepare a slavery and human trafficking statement applies to commercial organisations with an annual turnover – or group turnover - of at least £36 million. Organisations have to be transparent about what they are doing to tackle modern slavery, not just within their own operations, but in their supply chains as well.</w:t>
      </w:r>
    </w:p>
    <w:p w14:paraId="24F39DF2" w14:textId="35DF7F73" w:rsidR="00233EB0" w:rsidRDefault="00233EB0" w:rsidP="00B570D8">
      <w:pPr>
        <w:rPr>
          <w:rFonts w:cstheme="minorHAnsi"/>
          <w:shd w:val="clear" w:color="auto" w:fill="FFFFFF"/>
        </w:rPr>
      </w:pPr>
      <w:r>
        <w:rPr>
          <w:rFonts w:cstheme="minorHAnsi"/>
          <w:shd w:val="clear" w:color="auto" w:fill="FFFFFF"/>
        </w:rPr>
        <w:t xml:space="preserve">The Council support the Act </w:t>
      </w:r>
      <w:r w:rsidR="00BB7F51">
        <w:rPr>
          <w:rFonts w:cstheme="minorHAnsi"/>
          <w:shd w:val="clear" w:color="auto" w:fill="FFFFFF"/>
        </w:rPr>
        <w:t>by ensuring that suppliers tendering for contracts disclose whether the Modern Slavery Act 2015 is applicable in terms of compliance with annual reporting.  If applicable, Modern Slavery statements are checked and logged on the contracts register.</w:t>
      </w:r>
    </w:p>
    <w:p w14:paraId="4E15D028" w14:textId="40D5A4C3" w:rsidR="00BB7F51" w:rsidRPr="007B2B2C" w:rsidRDefault="00BB7F51" w:rsidP="00B570D8">
      <w:pPr>
        <w:rPr>
          <w:rFonts w:cstheme="minorHAnsi"/>
          <w:b/>
        </w:rPr>
      </w:pPr>
      <w:r>
        <w:rPr>
          <w:rFonts w:cstheme="minorHAnsi"/>
          <w:shd w:val="clear" w:color="auto" w:fill="FFFFFF"/>
        </w:rPr>
        <w:t>Please see Appendix 2 (Ethical Procurement) for the question</w:t>
      </w:r>
      <w:r w:rsidR="002046B7">
        <w:rPr>
          <w:rFonts w:cstheme="minorHAnsi"/>
          <w:shd w:val="clear" w:color="auto" w:fill="FFFFFF"/>
        </w:rPr>
        <w:t>s applied to standard tender documentation.</w:t>
      </w:r>
    </w:p>
    <w:p w14:paraId="1E2C09AD" w14:textId="77777777" w:rsidR="00F732E6" w:rsidRPr="00A51F40" w:rsidRDefault="00F732E6" w:rsidP="00F732E6">
      <w:pPr>
        <w:rPr>
          <w:b/>
          <w:bCs/>
        </w:rPr>
      </w:pPr>
      <w:r w:rsidRPr="00A51F40">
        <w:rPr>
          <w:b/>
          <w:bCs/>
        </w:rPr>
        <w:t>Fair Tax</w:t>
      </w:r>
    </w:p>
    <w:p w14:paraId="1A7BE879" w14:textId="12A53485" w:rsidR="00F732E6" w:rsidRPr="001753DB" w:rsidRDefault="00F732E6" w:rsidP="00F732E6">
      <w:pPr>
        <w:rPr>
          <w:bCs/>
        </w:rPr>
      </w:pPr>
      <w:r w:rsidRPr="001753DB">
        <w:rPr>
          <w:bCs/>
        </w:rPr>
        <w:t>The</w:t>
      </w:r>
      <w:r w:rsidR="00974A76">
        <w:rPr>
          <w:bCs/>
        </w:rPr>
        <w:t xml:space="preserve"> Council has</w:t>
      </w:r>
      <w:r>
        <w:rPr>
          <w:bCs/>
        </w:rPr>
        <w:t xml:space="preserve"> signed</w:t>
      </w:r>
      <w:r w:rsidRPr="001753DB">
        <w:rPr>
          <w:bCs/>
        </w:rPr>
        <w:t xml:space="preserve"> up to </w:t>
      </w:r>
      <w:r>
        <w:rPr>
          <w:bCs/>
        </w:rPr>
        <w:t xml:space="preserve">Fair </w:t>
      </w:r>
      <w:r w:rsidR="00BB7F51">
        <w:rPr>
          <w:bCs/>
        </w:rPr>
        <w:t>Tax Principles</w:t>
      </w:r>
      <w:r w:rsidR="00367C0D">
        <w:rPr>
          <w:bCs/>
        </w:rPr>
        <w:t xml:space="preserve">.  While there are limits to our power, we will do what we can, and will also support </w:t>
      </w:r>
      <w:r w:rsidRPr="001753DB">
        <w:rPr>
          <w:bCs/>
        </w:rPr>
        <w:t>the Fair Tax Foundation to lobby for more powers around procurement</w:t>
      </w:r>
      <w:r w:rsidR="00367C0D">
        <w:rPr>
          <w:bCs/>
        </w:rPr>
        <w:t>.  A</w:t>
      </w:r>
      <w:r w:rsidRPr="001753DB">
        <w:rPr>
          <w:bCs/>
        </w:rPr>
        <w:t>t the moment we can exclude suppliers who have been proven to have had tax offences but we are prevented from specifying ‘responsible tax’ as a contract award criteria, e.g., a policy shunning the artificial use of tax havens, as ‘tax’ cannot be linked straightforwardly to the subject matter of a contract.</w:t>
      </w:r>
    </w:p>
    <w:p w14:paraId="1E922D65" w14:textId="18F35E25" w:rsidR="00F732E6" w:rsidRPr="00BE7706" w:rsidRDefault="00F732E6" w:rsidP="00F732E6">
      <w:pPr>
        <w:rPr>
          <w:rFonts w:cstheme="minorHAnsi"/>
        </w:rPr>
      </w:pPr>
      <w:r w:rsidRPr="001753DB">
        <w:rPr>
          <w:bCs/>
        </w:rPr>
        <w:t>Signing up to the fair tax principles means that we support the proper accounting for and payment of tax and specifically</w:t>
      </w:r>
      <w:r w:rsidR="00367C0D">
        <w:rPr>
          <w:bCs/>
        </w:rPr>
        <w:t xml:space="preserve"> </w:t>
      </w:r>
      <w:r w:rsidRPr="001753DB">
        <w:rPr>
          <w:bCs/>
        </w:rPr>
        <w:t>for:   </w:t>
      </w:r>
    </w:p>
    <w:p w14:paraId="68E44173" w14:textId="77777777" w:rsidR="00F732E6" w:rsidRPr="00BE7706" w:rsidRDefault="00F732E6" w:rsidP="00F732E6">
      <w:pPr>
        <w:pStyle w:val="ListParagraph"/>
        <w:numPr>
          <w:ilvl w:val="0"/>
          <w:numId w:val="3"/>
        </w:numPr>
        <w:rPr>
          <w:rFonts w:asciiTheme="minorHAnsi" w:hAnsiTheme="minorHAnsi" w:cstheme="minorHAnsi"/>
          <w:sz w:val="20"/>
          <w:szCs w:val="20"/>
        </w:rPr>
      </w:pPr>
      <w:r w:rsidRPr="00BE7706">
        <w:rPr>
          <w:rFonts w:asciiTheme="minorHAnsi" w:hAnsiTheme="minorHAnsi" w:cstheme="minorHAnsi"/>
          <w:sz w:val="20"/>
          <w:szCs w:val="20"/>
        </w:rPr>
        <w:t>Ensuring IR35 is implemented robustly and a fair share of employment taxes are paid by contractors.</w:t>
      </w:r>
    </w:p>
    <w:p w14:paraId="17AFB6BD" w14:textId="77777777" w:rsidR="00F732E6" w:rsidRPr="00BE7706" w:rsidRDefault="00F732E6" w:rsidP="00F732E6">
      <w:pPr>
        <w:pStyle w:val="ListParagraph"/>
        <w:numPr>
          <w:ilvl w:val="0"/>
          <w:numId w:val="3"/>
        </w:numPr>
        <w:rPr>
          <w:rFonts w:asciiTheme="minorHAnsi" w:hAnsiTheme="minorHAnsi" w:cstheme="minorHAnsi"/>
          <w:sz w:val="20"/>
          <w:szCs w:val="20"/>
        </w:rPr>
      </w:pPr>
      <w:r w:rsidRPr="00BE7706">
        <w:rPr>
          <w:rFonts w:asciiTheme="minorHAnsi" w:hAnsiTheme="minorHAnsi" w:cstheme="minorHAnsi"/>
          <w:sz w:val="20"/>
          <w:szCs w:val="20"/>
        </w:rPr>
        <w:t>Shunning the use of offshore vehicles for the purchase of land and property, especially where this leads to reduced payments of stamp duty.</w:t>
      </w:r>
    </w:p>
    <w:p w14:paraId="4B0241F5" w14:textId="77777777" w:rsidR="00F732E6" w:rsidRPr="00BE7706" w:rsidRDefault="00F732E6" w:rsidP="00F732E6">
      <w:pPr>
        <w:pStyle w:val="ListParagraph"/>
        <w:numPr>
          <w:ilvl w:val="0"/>
          <w:numId w:val="3"/>
        </w:numPr>
        <w:rPr>
          <w:rFonts w:asciiTheme="minorHAnsi" w:hAnsiTheme="minorHAnsi" w:cstheme="minorHAnsi"/>
          <w:sz w:val="20"/>
          <w:szCs w:val="20"/>
        </w:rPr>
      </w:pPr>
      <w:r w:rsidRPr="00BE7706">
        <w:rPr>
          <w:rFonts w:asciiTheme="minorHAnsi" w:hAnsiTheme="minorHAnsi" w:cstheme="minorHAnsi"/>
          <w:sz w:val="20"/>
          <w:szCs w:val="20"/>
        </w:rPr>
        <w:t>Undertaking due diligence to ensure that not-for-profit structures are not being used inappropriately by suppliers as an artificial device to reduce the payment of tax and business rates.</w:t>
      </w:r>
    </w:p>
    <w:p w14:paraId="30A930EB" w14:textId="77777777" w:rsidR="00F732E6" w:rsidRPr="00BE7706" w:rsidRDefault="00F732E6" w:rsidP="00F732E6">
      <w:pPr>
        <w:pStyle w:val="ListParagraph"/>
        <w:numPr>
          <w:ilvl w:val="0"/>
          <w:numId w:val="3"/>
        </w:numPr>
        <w:rPr>
          <w:rFonts w:asciiTheme="minorHAnsi" w:hAnsiTheme="minorHAnsi" w:cstheme="minorHAnsi"/>
          <w:sz w:val="20"/>
          <w:szCs w:val="20"/>
        </w:rPr>
      </w:pPr>
      <w:r w:rsidRPr="00BE7706">
        <w:rPr>
          <w:rFonts w:asciiTheme="minorHAnsi" w:hAnsiTheme="minorHAnsi" w:cstheme="minorHAnsi"/>
          <w:sz w:val="20"/>
          <w:szCs w:val="20"/>
        </w:rPr>
        <w:t>Demanding clarity on the ultimate beneficial ownership of suppliers, be they UK based or overseas, and their group consolidated profit and loss position, given lack of clarity could be strong indicators of poor financial probity and weak financial standing.</w:t>
      </w:r>
    </w:p>
    <w:p w14:paraId="65C663D6" w14:textId="0D84C5C5" w:rsidR="00F732E6" w:rsidRPr="00BE7706" w:rsidRDefault="00367C0D" w:rsidP="00F732E6">
      <w:pPr>
        <w:rPr>
          <w:bCs/>
        </w:rPr>
      </w:pPr>
      <w:r>
        <w:rPr>
          <w:bCs/>
        </w:rPr>
        <w:t>We have</w:t>
      </w:r>
      <w:r w:rsidR="00F732E6" w:rsidRPr="00BE7706">
        <w:rPr>
          <w:bCs/>
        </w:rPr>
        <w:t xml:space="preserve"> included a question into the selection phase of a tender to enable it to ascertain whether there is a concern prior to awarding an in scope contract (above threshold).</w:t>
      </w:r>
    </w:p>
    <w:p w14:paraId="06F0F8FD" w14:textId="77777777" w:rsidR="00325629" w:rsidRPr="00B570D8" w:rsidRDefault="00F40F83" w:rsidP="00B570D8">
      <w:pPr>
        <w:pStyle w:val="Heading1"/>
      </w:pPr>
      <w:bookmarkStart w:id="28" w:name="_Toc117766937"/>
      <w:r>
        <w:t xml:space="preserve">10 </w:t>
      </w:r>
      <w:r w:rsidR="00325629">
        <w:t>Conclusion</w:t>
      </w:r>
      <w:r w:rsidR="000D409F">
        <w:t xml:space="preserve"> AND SUMMARY</w:t>
      </w:r>
      <w:bookmarkEnd w:id="28"/>
    </w:p>
    <w:p w14:paraId="658CB921" w14:textId="77777777" w:rsidR="00B570D8" w:rsidRDefault="00B570D8" w:rsidP="00B570D8"/>
    <w:p w14:paraId="62A7222B" w14:textId="77777777" w:rsidR="00325629" w:rsidRPr="00215F34" w:rsidRDefault="00325629" w:rsidP="00325629">
      <w:r w:rsidRPr="00215F34">
        <w:t xml:space="preserve">Procurement has evolved over the last 2 years taking the procurement register from a difficult to manage excel spreadsheet to a manageable SharePoint tool enabling procurement to effectively engage with internal </w:t>
      </w:r>
      <w:r w:rsidR="003624D7">
        <w:t xml:space="preserve">and external </w:t>
      </w:r>
      <w:r w:rsidRPr="00215F34">
        <w:t>stakeholders in the timely management of their contracts.</w:t>
      </w:r>
    </w:p>
    <w:p w14:paraId="40D6BD23" w14:textId="77777777" w:rsidR="00325629" w:rsidRPr="00215F34" w:rsidRDefault="00325629" w:rsidP="00325629">
      <w:r w:rsidRPr="00215F34">
        <w:t>This has resulted in the start of contract rationalisation, a reduction in the level of exemptions being requested, the management of an increase in the number of competitions undertaken with no overhead increase to the team.</w:t>
      </w:r>
    </w:p>
    <w:p w14:paraId="0922C8AD" w14:textId="77777777" w:rsidR="00325629" w:rsidRPr="00215F34" w:rsidRDefault="00325629" w:rsidP="00325629">
      <w:r w:rsidRPr="00215F34">
        <w:t>The team has worked with stakeholders to utilise skills within the Council to offer Frameworks in both Electric Vehicle Charging and Modular off-site builds which are open to other local authorities to use where the awarded supplier will pay a small fee to the Council.</w:t>
      </w:r>
    </w:p>
    <w:p w14:paraId="167949FA" w14:textId="77777777" w:rsidR="00325629" w:rsidRPr="00215F34" w:rsidRDefault="00325629" w:rsidP="00325629">
      <w:r w:rsidRPr="00215F34">
        <w:t xml:space="preserve">Procurement in the Council had a voice in the Transforming Public Procurement paper and is in a strong position to adapt to changes that are currently going through parliament in the Procurement Bill 2022 which is expected to be </w:t>
      </w:r>
      <w:r>
        <w:t>authorised</w:t>
      </w:r>
      <w:r w:rsidRPr="00215F34">
        <w:t xml:space="preserve"> in 2023 with implementation within 6 months in 2023.</w:t>
      </w:r>
    </w:p>
    <w:p w14:paraId="4617A6FB" w14:textId="39A3BCB5" w:rsidR="00325629" w:rsidRPr="00215F34" w:rsidRDefault="00325629" w:rsidP="00325629">
      <w:r w:rsidRPr="00215F34">
        <w:t xml:space="preserve">A new procurement portal will be introduced in </w:t>
      </w:r>
      <w:proofErr w:type="gramStart"/>
      <w:r w:rsidR="00367C0D">
        <w:t>A</w:t>
      </w:r>
      <w:r w:rsidRPr="00215F34">
        <w:t>utumn</w:t>
      </w:r>
      <w:proofErr w:type="gramEnd"/>
      <w:r w:rsidRPr="00215F34">
        <w:t xml:space="preserve"> 2022, and with that we expect to move to a more digitalised procurement process i.e. incorporating on-line evaluation, more templates on-line, streamlining the tendering process and enabling greater speed to access local suppliers specifically for below threshold procurements.</w:t>
      </w:r>
    </w:p>
    <w:p w14:paraId="146DB6A4" w14:textId="77777777" w:rsidR="000D409F" w:rsidRPr="000D409F" w:rsidRDefault="00F40F83" w:rsidP="00B570D8">
      <w:pPr>
        <w:pStyle w:val="Heading1"/>
      </w:pPr>
      <w:bookmarkStart w:id="29" w:name="_Toc117766938"/>
      <w:r w:rsidRPr="000D409F">
        <w:t>1</w:t>
      </w:r>
      <w:r>
        <w:t>1</w:t>
      </w:r>
      <w:r w:rsidRPr="000D409F">
        <w:t xml:space="preserve"> </w:t>
      </w:r>
      <w:r w:rsidR="000D409F" w:rsidRPr="000D409F">
        <w:t>Action Plan to deliver the strategy</w:t>
      </w:r>
      <w:bookmarkEnd w:id="29"/>
      <w:r w:rsidR="000D409F" w:rsidRPr="000D409F">
        <w:t xml:space="preserve"> </w:t>
      </w:r>
    </w:p>
    <w:p w14:paraId="500461AE" w14:textId="77777777" w:rsidR="000D409F" w:rsidRPr="00010C96" w:rsidRDefault="000D409F" w:rsidP="000D409F">
      <w:r w:rsidRPr="00010C96">
        <w:t xml:space="preserve">An action plan has been developed by the Procurement Team to deliver the strategy </w:t>
      </w:r>
      <w:r>
        <w:t xml:space="preserve">details of which are given in Appendix </w:t>
      </w:r>
      <w:r w:rsidR="00B570D8">
        <w:t>3</w:t>
      </w:r>
    </w:p>
    <w:p w14:paraId="53244194" w14:textId="77777777" w:rsidR="00F40F83" w:rsidRDefault="00F40F83" w:rsidP="00F40F83">
      <w:pPr>
        <w:pStyle w:val="Heading1"/>
      </w:pPr>
      <w:bookmarkStart w:id="30" w:name="_Toc117766939"/>
      <w:r>
        <w:t>12. Glossary</w:t>
      </w:r>
      <w:bookmarkEnd w:id="30"/>
    </w:p>
    <w:p w14:paraId="30F49DCA" w14:textId="77777777" w:rsidR="00F40F83" w:rsidRDefault="00F40F83" w:rsidP="00CA292C">
      <w:pPr>
        <w:spacing w:before="0" w:line="240" w:lineRule="auto"/>
        <w:ind w:left="3600" w:hanging="3600"/>
      </w:pPr>
      <w:r>
        <w:t>CWB</w:t>
      </w:r>
      <w:r>
        <w:tab/>
        <w:t>Community Wealth Building – a people centred approach to local economic development, which redirects wealth back into the local economy</w:t>
      </w:r>
    </w:p>
    <w:p w14:paraId="33560BC0" w14:textId="77777777" w:rsidR="00F40F83" w:rsidRPr="00CC36A6" w:rsidRDefault="00F40F83" w:rsidP="00CA292C">
      <w:pPr>
        <w:spacing w:before="0" w:line="240" w:lineRule="auto"/>
        <w:ind w:left="3600" w:hanging="3600"/>
      </w:pPr>
      <w:r>
        <w:t>FTS</w:t>
      </w:r>
      <w:r>
        <w:tab/>
        <w:t>Find a Tender Service – replacement for OJEU a portal for high value UK notices for publication of new procurements</w:t>
      </w:r>
    </w:p>
    <w:p w14:paraId="070D9587" w14:textId="77777777" w:rsidR="00F40F83" w:rsidRDefault="00F40F83" w:rsidP="00CA292C">
      <w:pPr>
        <w:spacing w:before="0" w:line="240" w:lineRule="auto"/>
      </w:pPr>
      <w:r>
        <w:t>H &amp; S</w:t>
      </w:r>
      <w:r>
        <w:tab/>
      </w:r>
      <w:r>
        <w:tab/>
      </w:r>
      <w:r>
        <w:tab/>
      </w:r>
      <w:r>
        <w:tab/>
      </w:r>
      <w:r>
        <w:tab/>
        <w:t>Health &amp; Safety</w:t>
      </w:r>
    </w:p>
    <w:p w14:paraId="2F2E082D" w14:textId="77777777" w:rsidR="00DF4F26" w:rsidRDefault="00F40F83" w:rsidP="00CA292C">
      <w:pPr>
        <w:spacing w:before="0" w:line="240" w:lineRule="auto"/>
        <w:ind w:left="3600" w:hanging="3600"/>
      </w:pPr>
      <w:r>
        <w:t>KPI’s</w:t>
      </w:r>
      <w:r>
        <w:tab/>
        <w:t>Key Performance Indicators a quantifiable measure used to evaluate</w:t>
      </w:r>
      <w:r w:rsidR="00DF4F26">
        <w:t xml:space="preserve"> the success of Suppliers in meeting service level objectives</w:t>
      </w:r>
    </w:p>
    <w:p w14:paraId="13FC7FAA" w14:textId="77777777" w:rsidR="00F40F83" w:rsidRDefault="00F40F83" w:rsidP="00CA292C">
      <w:pPr>
        <w:spacing w:before="0" w:line="240" w:lineRule="auto"/>
        <w:ind w:left="3600" w:hanging="3600"/>
      </w:pPr>
      <w:r>
        <w:t>OJEU</w:t>
      </w:r>
      <w:r>
        <w:tab/>
        <w:t>Official Journal of the European Union</w:t>
      </w:r>
      <w:r w:rsidR="00DF4F26">
        <w:t xml:space="preserve"> – a portal for high value notice publications of new procurements – replaced by FTS since Brexit.</w:t>
      </w:r>
    </w:p>
    <w:p w14:paraId="58BA6403" w14:textId="77777777" w:rsidR="00F40F83" w:rsidRDefault="00F40F83" w:rsidP="00CA292C">
      <w:pPr>
        <w:spacing w:before="0" w:line="240" w:lineRule="auto"/>
        <w:ind w:left="3600" w:hanging="3600"/>
      </w:pPr>
      <w:r>
        <w:t>SLA’s</w:t>
      </w:r>
      <w:r>
        <w:tab/>
        <w:t>Service Level Agreements</w:t>
      </w:r>
      <w:r w:rsidR="00DF4F26">
        <w:t xml:space="preserve"> – level of service expected by a customer from a supplier</w:t>
      </w:r>
    </w:p>
    <w:p w14:paraId="019BBD55" w14:textId="77777777" w:rsidR="00F40F83" w:rsidRDefault="00F40F83" w:rsidP="00CA292C">
      <w:pPr>
        <w:spacing w:before="0" w:line="240" w:lineRule="auto"/>
        <w:ind w:left="3600" w:hanging="3600"/>
      </w:pPr>
      <w:r>
        <w:t>SME</w:t>
      </w:r>
      <w:r>
        <w:tab/>
        <w:t xml:space="preserve">Small </w:t>
      </w:r>
      <w:r w:rsidR="00DF4F26">
        <w:t xml:space="preserve">and </w:t>
      </w:r>
      <w:r>
        <w:t xml:space="preserve">Medium </w:t>
      </w:r>
      <w:r w:rsidR="00DF4F26">
        <w:t xml:space="preserve">sized </w:t>
      </w:r>
      <w:r>
        <w:t>Enterprise</w:t>
      </w:r>
      <w:r w:rsidR="00DF4F26">
        <w:t>s defined by number of employees and turnover</w:t>
      </w:r>
    </w:p>
    <w:p w14:paraId="4EBB0B1E" w14:textId="77777777" w:rsidR="00F40F83" w:rsidRDefault="00F40F83" w:rsidP="00CA292C">
      <w:pPr>
        <w:spacing w:before="0" w:line="240" w:lineRule="auto"/>
        <w:ind w:left="3600" w:hanging="3600"/>
      </w:pPr>
      <w:r>
        <w:t>SV</w:t>
      </w:r>
      <w:r>
        <w:tab/>
        <w:t>Social Value</w:t>
      </w:r>
      <w:r w:rsidR="00DF4F26">
        <w:t xml:space="preserve"> – measures the positive value businesses create for the economy, communities and society</w:t>
      </w:r>
    </w:p>
    <w:p w14:paraId="78A6624D" w14:textId="77777777" w:rsidR="00F40F83" w:rsidRDefault="00F40F83" w:rsidP="00CA292C">
      <w:pPr>
        <w:spacing w:before="0" w:line="240" w:lineRule="auto"/>
        <w:ind w:left="3600" w:hanging="3600"/>
      </w:pPr>
      <w:r>
        <w:t>SV Weighting</w:t>
      </w:r>
      <w:r>
        <w:tab/>
      </w:r>
      <w:proofErr w:type="gramStart"/>
      <w:r w:rsidR="00DF4F26">
        <w:t>The</w:t>
      </w:r>
      <w:proofErr w:type="gramEnd"/>
      <w:r w:rsidR="00DF4F26">
        <w:t xml:space="preserve"> percentage weighting </w:t>
      </w:r>
      <w:r>
        <w:t>applied in the evaluation stage of a tender process.</w:t>
      </w:r>
    </w:p>
    <w:p w14:paraId="22161890" w14:textId="77777777" w:rsidR="00F40F83" w:rsidRDefault="00F40F83" w:rsidP="00CA292C">
      <w:pPr>
        <w:spacing w:before="0" w:line="240" w:lineRule="auto"/>
        <w:ind w:left="3600" w:hanging="3600"/>
      </w:pPr>
      <w:r>
        <w:t>VCSE</w:t>
      </w:r>
      <w:r>
        <w:tab/>
        <w:t xml:space="preserve">Voluntary </w:t>
      </w:r>
      <w:r w:rsidR="00B469B1">
        <w:t xml:space="preserve">Community and </w:t>
      </w:r>
      <w:r>
        <w:t>Social Enterprise</w:t>
      </w:r>
      <w:r w:rsidR="00B469B1">
        <w:t xml:space="preserve"> – a non-governmental organisation, which principally reinvests its surpluses to further social, environmental or cultural objectives. </w:t>
      </w:r>
    </w:p>
    <w:p w14:paraId="44B91811" w14:textId="4E668CC7" w:rsidR="007C155D" w:rsidRDefault="007C155D">
      <w:r>
        <w:br w:type="page"/>
      </w:r>
    </w:p>
    <w:p w14:paraId="0BDD1028" w14:textId="77777777" w:rsidR="004A7AA4" w:rsidRPr="004A7AA4" w:rsidRDefault="004A7AA4" w:rsidP="004A7AA4">
      <w:pPr>
        <w:pStyle w:val="Heading1"/>
      </w:pPr>
      <w:bookmarkStart w:id="31" w:name="_Toc117766940"/>
      <w:r>
        <w:t>Appendix 1</w:t>
      </w:r>
      <w:bookmarkEnd w:id="31"/>
    </w:p>
    <w:p w14:paraId="3AC1890D" w14:textId="77777777" w:rsidR="002875F7" w:rsidRDefault="004A7AA4" w:rsidP="007C5C7A">
      <w:pPr>
        <w:pStyle w:val="Heading2"/>
      </w:pPr>
      <w:bookmarkStart w:id="32" w:name="_Toc117766941"/>
      <w:r>
        <w:t>How Procurement will support internal stakeholders</w:t>
      </w:r>
      <w:bookmarkEnd w:id="32"/>
    </w:p>
    <w:p w14:paraId="2DB38C3E" w14:textId="77777777" w:rsidR="004A7AA4" w:rsidRPr="008E24DE" w:rsidRDefault="004A7AA4" w:rsidP="004A7AA4">
      <w:pPr>
        <w:rPr>
          <w:bCs/>
        </w:rPr>
      </w:pPr>
      <w:r w:rsidRPr="008E24DE">
        <w:rPr>
          <w:bCs/>
        </w:rPr>
        <w:t xml:space="preserve">Procurement will support all new employees to the </w:t>
      </w:r>
      <w:r>
        <w:rPr>
          <w:bCs/>
        </w:rPr>
        <w:t>C</w:t>
      </w:r>
      <w:r w:rsidRPr="008E24DE">
        <w:rPr>
          <w:bCs/>
        </w:rPr>
        <w:t xml:space="preserve">ouncil and its entities </w:t>
      </w:r>
      <w:r>
        <w:rPr>
          <w:bCs/>
        </w:rPr>
        <w:t xml:space="preserve">by delivering </w:t>
      </w:r>
      <w:r w:rsidRPr="008E24DE">
        <w:rPr>
          <w:bCs/>
        </w:rPr>
        <w:t>a range of monthly training courses (the courses are also available as a refresher for existing employees).  The courses include, but are not limited to:</w:t>
      </w:r>
    </w:p>
    <w:p w14:paraId="5C17FC2A" w14:textId="77777777" w:rsidR="004A7AA4" w:rsidRPr="00C3111B" w:rsidRDefault="004A7AA4" w:rsidP="004A7AA4">
      <w:pPr>
        <w:pStyle w:val="ListParagraph"/>
        <w:numPr>
          <w:ilvl w:val="1"/>
          <w:numId w:val="1"/>
        </w:numPr>
        <w:rPr>
          <w:rFonts w:ascii="Calibri" w:hAnsi="Calibri" w:cs="Calibri"/>
          <w:bCs/>
          <w:sz w:val="20"/>
          <w:szCs w:val="20"/>
        </w:rPr>
      </w:pPr>
      <w:r w:rsidRPr="00C3111B">
        <w:rPr>
          <w:rFonts w:ascii="Calibri" w:hAnsi="Calibri" w:cs="Calibri"/>
          <w:bCs/>
          <w:sz w:val="20"/>
          <w:szCs w:val="20"/>
        </w:rPr>
        <w:t>Procurement overview incorporating the external Regulations and the in</w:t>
      </w:r>
      <w:r>
        <w:rPr>
          <w:rFonts w:ascii="Calibri" w:hAnsi="Calibri" w:cs="Calibri"/>
          <w:bCs/>
          <w:sz w:val="20"/>
          <w:szCs w:val="20"/>
        </w:rPr>
        <w:t>ternal rules (the Constitution);</w:t>
      </w:r>
    </w:p>
    <w:p w14:paraId="1F31C8B4" w14:textId="77777777" w:rsidR="004A7AA4" w:rsidRPr="00C3111B" w:rsidRDefault="004A7AA4" w:rsidP="004A7AA4">
      <w:pPr>
        <w:pStyle w:val="ListParagraph"/>
        <w:numPr>
          <w:ilvl w:val="1"/>
          <w:numId w:val="1"/>
        </w:numPr>
        <w:rPr>
          <w:rFonts w:ascii="Calibri" w:hAnsi="Calibri" w:cs="Calibri"/>
          <w:bCs/>
          <w:sz w:val="20"/>
          <w:szCs w:val="20"/>
        </w:rPr>
      </w:pPr>
      <w:r w:rsidRPr="00C3111B">
        <w:rPr>
          <w:rFonts w:ascii="Calibri" w:hAnsi="Calibri" w:cs="Calibri"/>
          <w:bCs/>
          <w:sz w:val="20"/>
          <w:szCs w:val="20"/>
        </w:rPr>
        <w:t>Pr</w:t>
      </w:r>
      <w:r>
        <w:rPr>
          <w:rFonts w:ascii="Calibri" w:hAnsi="Calibri" w:cs="Calibri"/>
          <w:bCs/>
          <w:sz w:val="20"/>
          <w:szCs w:val="20"/>
        </w:rPr>
        <w:t xml:space="preserve">ocure to Pay – Training of the Councils financial management system, </w:t>
      </w:r>
      <w:proofErr w:type="spellStart"/>
      <w:r>
        <w:rPr>
          <w:rFonts w:ascii="Calibri" w:hAnsi="Calibri" w:cs="Calibri"/>
          <w:bCs/>
          <w:sz w:val="20"/>
          <w:szCs w:val="20"/>
        </w:rPr>
        <w:t>Agresso</w:t>
      </w:r>
      <w:proofErr w:type="spellEnd"/>
      <w:r>
        <w:rPr>
          <w:rFonts w:ascii="Calibri" w:hAnsi="Calibri" w:cs="Calibri"/>
          <w:bCs/>
          <w:sz w:val="20"/>
          <w:szCs w:val="20"/>
        </w:rPr>
        <w:t xml:space="preserve"> ;</w:t>
      </w:r>
    </w:p>
    <w:p w14:paraId="53ED5504" w14:textId="77777777" w:rsidR="004A7AA4" w:rsidRPr="00C3111B" w:rsidRDefault="004A7AA4" w:rsidP="004A7AA4">
      <w:pPr>
        <w:pStyle w:val="ListParagraph"/>
        <w:numPr>
          <w:ilvl w:val="1"/>
          <w:numId w:val="1"/>
        </w:numPr>
        <w:rPr>
          <w:rFonts w:ascii="Calibri" w:hAnsi="Calibri" w:cs="Calibri"/>
          <w:bCs/>
          <w:sz w:val="20"/>
          <w:szCs w:val="20"/>
        </w:rPr>
      </w:pPr>
      <w:r>
        <w:rPr>
          <w:rFonts w:ascii="Calibri" w:hAnsi="Calibri" w:cs="Calibri"/>
          <w:bCs/>
          <w:sz w:val="20"/>
          <w:szCs w:val="20"/>
        </w:rPr>
        <w:t xml:space="preserve">Procurement </w:t>
      </w:r>
      <w:r w:rsidRPr="00C3111B">
        <w:rPr>
          <w:rFonts w:ascii="Calibri" w:hAnsi="Calibri" w:cs="Calibri"/>
          <w:bCs/>
          <w:sz w:val="20"/>
          <w:szCs w:val="20"/>
        </w:rPr>
        <w:t>Portal training</w:t>
      </w:r>
      <w:r>
        <w:rPr>
          <w:rFonts w:ascii="Calibri" w:hAnsi="Calibri" w:cs="Calibri"/>
          <w:bCs/>
          <w:sz w:val="20"/>
          <w:szCs w:val="20"/>
        </w:rPr>
        <w:t>;</w:t>
      </w:r>
    </w:p>
    <w:p w14:paraId="52E35A10" w14:textId="77777777" w:rsidR="004A7AA4" w:rsidRDefault="004A7AA4" w:rsidP="004A7AA4">
      <w:pPr>
        <w:rPr>
          <w:bCs/>
        </w:rPr>
      </w:pPr>
      <w:r w:rsidRPr="008E24DE">
        <w:rPr>
          <w:bCs/>
        </w:rPr>
        <w:t>Procurement will attend service area meetings when required to support and offer guidance in the planning process where new contracts / contract extensions may be required.</w:t>
      </w:r>
    </w:p>
    <w:p w14:paraId="7702E8F5" w14:textId="77777777" w:rsidR="004A7AA4" w:rsidRDefault="004A7AA4" w:rsidP="004A7AA4">
      <w:pPr>
        <w:rPr>
          <w:bCs/>
        </w:rPr>
      </w:pPr>
      <w:r>
        <w:rPr>
          <w:bCs/>
        </w:rPr>
        <w:t>As part of its Service Level Agreement to internal stakeholders and to ensure compliance with Regulatory requirements, Procurement will continue to:</w:t>
      </w:r>
    </w:p>
    <w:p w14:paraId="45AFF457" w14:textId="77777777" w:rsidR="004A7AA4" w:rsidRPr="00C3111B" w:rsidRDefault="004A7AA4" w:rsidP="004A7AA4">
      <w:pPr>
        <w:pStyle w:val="ListParagraph"/>
        <w:numPr>
          <w:ilvl w:val="0"/>
          <w:numId w:val="15"/>
        </w:numPr>
        <w:rPr>
          <w:rFonts w:asciiTheme="minorHAnsi" w:hAnsiTheme="minorHAnsi" w:cstheme="minorHAnsi"/>
          <w:bCs/>
          <w:sz w:val="20"/>
          <w:szCs w:val="20"/>
        </w:rPr>
      </w:pPr>
      <w:r>
        <w:rPr>
          <w:rFonts w:asciiTheme="minorHAnsi" w:hAnsiTheme="minorHAnsi" w:cstheme="minorHAnsi"/>
          <w:bCs/>
          <w:sz w:val="20"/>
          <w:szCs w:val="20"/>
        </w:rPr>
        <w:t>Monitor SME and Local spend;</w:t>
      </w:r>
    </w:p>
    <w:p w14:paraId="0A3D98D5" w14:textId="77777777" w:rsidR="004A7AA4" w:rsidRPr="00C3111B" w:rsidRDefault="004A7AA4" w:rsidP="004A7AA4">
      <w:pPr>
        <w:pStyle w:val="ListParagraph"/>
        <w:numPr>
          <w:ilvl w:val="0"/>
          <w:numId w:val="15"/>
        </w:numPr>
        <w:rPr>
          <w:rFonts w:asciiTheme="minorHAnsi" w:hAnsiTheme="minorHAnsi" w:cstheme="minorHAnsi"/>
          <w:bCs/>
          <w:sz w:val="20"/>
          <w:szCs w:val="20"/>
        </w:rPr>
      </w:pPr>
      <w:r w:rsidRPr="00C3111B">
        <w:rPr>
          <w:rFonts w:asciiTheme="minorHAnsi" w:hAnsiTheme="minorHAnsi" w:cstheme="minorHAnsi"/>
          <w:bCs/>
          <w:sz w:val="20"/>
          <w:szCs w:val="20"/>
        </w:rPr>
        <w:t>Respond to requests for new supplier set up within 5 days (in conjunction with the payment team</w:t>
      </w:r>
      <w:r>
        <w:rPr>
          <w:rFonts w:asciiTheme="minorHAnsi" w:hAnsiTheme="minorHAnsi" w:cstheme="minorHAnsi"/>
          <w:bCs/>
          <w:sz w:val="20"/>
          <w:szCs w:val="20"/>
        </w:rPr>
        <w:t>);</w:t>
      </w:r>
    </w:p>
    <w:p w14:paraId="781CD414" w14:textId="77777777" w:rsidR="004A7AA4" w:rsidRPr="00C3111B" w:rsidRDefault="004A7AA4" w:rsidP="004A7AA4">
      <w:pPr>
        <w:pStyle w:val="ListParagraph"/>
        <w:numPr>
          <w:ilvl w:val="0"/>
          <w:numId w:val="15"/>
        </w:numPr>
        <w:rPr>
          <w:rFonts w:asciiTheme="minorHAnsi" w:hAnsiTheme="minorHAnsi" w:cstheme="minorHAnsi"/>
          <w:bCs/>
          <w:sz w:val="20"/>
          <w:szCs w:val="20"/>
        </w:rPr>
      </w:pPr>
      <w:r w:rsidRPr="00C3111B">
        <w:rPr>
          <w:rFonts w:asciiTheme="minorHAnsi" w:hAnsiTheme="minorHAnsi" w:cstheme="minorHAnsi"/>
          <w:bCs/>
          <w:sz w:val="20"/>
          <w:szCs w:val="20"/>
        </w:rPr>
        <w:t>Publish transparency reports quarterly</w:t>
      </w:r>
      <w:r>
        <w:rPr>
          <w:rFonts w:asciiTheme="minorHAnsi" w:hAnsiTheme="minorHAnsi" w:cstheme="minorHAnsi"/>
          <w:bCs/>
          <w:sz w:val="20"/>
          <w:szCs w:val="20"/>
        </w:rPr>
        <w:t xml:space="preserve"> on the Council website;</w:t>
      </w:r>
    </w:p>
    <w:p w14:paraId="05010605" w14:textId="77777777" w:rsidR="004A7AA4" w:rsidRPr="00C3111B" w:rsidRDefault="004A7AA4" w:rsidP="004A7AA4">
      <w:pPr>
        <w:pStyle w:val="ListParagraph"/>
        <w:numPr>
          <w:ilvl w:val="0"/>
          <w:numId w:val="15"/>
        </w:numPr>
        <w:rPr>
          <w:rFonts w:asciiTheme="minorHAnsi" w:hAnsiTheme="minorHAnsi" w:cstheme="minorHAnsi"/>
          <w:bCs/>
          <w:sz w:val="20"/>
          <w:szCs w:val="20"/>
        </w:rPr>
      </w:pPr>
      <w:r w:rsidRPr="00C3111B">
        <w:rPr>
          <w:rFonts w:asciiTheme="minorHAnsi" w:hAnsiTheme="minorHAnsi" w:cstheme="minorHAnsi"/>
          <w:bCs/>
          <w:sz w:val="20"/>
          <w:szCs w:val="20"/>
        </w:rPr>
        <w:t xml:space="preserve">Respond to emails sent to </w:t>
      </w:r>
      <w:hyperlink r:id="rId26" w:history="1">
        <w:r w:rsidRPr="00C3111B">
          <w:rPr>
            <w:rStyle w:val="Hyperlink"/>
            <w:rFonts w:asciiTheme="minorHAnsi" w:hAnsiTheme="minorHAnsi" w:cstheme="minorHAnsi"/>
            <w:bCs/>
            <w:sz w:val="20"/>
            <w:szCs w:val="20"/>
          </w:rPr>
          <w:t>procurement@oxford.gov.uk</w:t>
        </w:r>
      </w:hyperlink>
      <w:r w:rsidRPr="00C3111B">
        <w:rPr>
          <w:rFonts w:asciiTheme="minorHAnsi" w:hAnsiTheme="minorHAnsi" w:cstheme="minorHAnsi"/>
          <w:bCs/>
          <w:sz w:val="20"/>
          <w:szCs w:val="20"/>
        </w:rPr>
        <w:t xml:space="preserve"> within 24 hours</w:t>
      </w:r>
      <w:r>
        <w:rPr>
          <w:rFonts w:asciiTheme="minorHAnsi" w:hAnsiTheme="minorHAnsi" w:cstheme="minorHAnsi"/>
          <w:bCs/>
          <w:sz w:val="20"/>
          <w:szCs w:val="20"/>
        </w:rPr>
        <w:t xml:space="preserve"> (next working day);</w:t>
      </w:r>
    </w:p>
    <w:p w14:paraId="13509FF2" w14:textId="77777777" w:rsidR="004A7AA4" w:rsidRPr="00C3111B" w:rsidRDefault="004A7AA4" w:rsidP="004A7AA4">
      <w:pPr>
        <w:pStyle w:val="ListParagraph"/>
        <w:numPr>
          <w:ilvl w:val="0"/>
          <w:numId w:val="15"/>
        </w:numPr>
        <w:rPr>
          <w:rFonts w:asciiTheme="minorHAnsi" w:hAnsiTheme="minorHAnsi" w:cstheme="minorHAnsi"/>
          <w:bCs/>
          <w:sz w:val="20"/>
          <w:szCs w:val="20"/>
        </w:rPr>
      </w:pPr>
      <w:r w:rsidRPr="00C3111B">
        <w:rPr>
          <w:rFonts w:asciiTheme="minorHAnsi" w:hAnsiTheme="minorHAnsi" w:cstheme="minorHAnsi"/>
          <w:bCs/>
          <w:sz w:val="20"/>
          <w:szCs w:val="20"/>
        </w:rPr>
        <w:t>Run tender processes within Regulation guidelines</w:t>
      </w:r>
      <w:r>
        <w:rPr>
          <w:rFonts w:asciiTheme="minorHAnsi" w:hAnsiTheme="minorHAnsi" w:cstheme="minorHAnsi"/>
          <w:bCs/>
          <w:sz w:val="20"/>
          <w:szCs w:val="20"/>
        </w:rPr>
        <w:t>;</w:t>
      </w:r>
    </w:p>
    <w:p w14:paraId="1714CE40" w14:textId="77777777" w:rsidR="004A7AA4" w:rsidRPr="00C3111B" w:rsidRDefault="004A7AA4" w:rsidP="004A7AA4">
      <w:pPr>
        <w:pStyle w:val="ListParagraph"/>
        <w:numPr>
          <w:ilvl w:val="0"/>
          <w:numId w:val="15"/>
        </w:numPr>
        <w:rPr>
          <w:rFonts w:asciiTheme="minorHAnsi" w:hAnsiTheme="minorHAnsi" w:cstheme="minorHAnsi"/>
          <w:bCs/>
          <w:sz w:val="20"/>
          <w:szCs w:val="20"/>
        </w:rPr>
      </w:pPr>
      <w:r w:rsidRPr="00C3111B">
        <w:rPr>
          <w:rFonts w:asciiTheme="minorHAnsi" w:hAnsiTheme="minorHAnsi" w:cstheme="minorHAnsi"/>
          <w:bCs/>
          <w:sz w:val="20"/>
          <w:szCs w:val="20"/>
        </w:rPr>
        <w:t>Adhere to agreed service levels with both ODSL and OCHL as agreed from time to time.</w:t>
      </w:r>
    </w:p>
    <w:p w14:paraId="14391DBB" w14:textId="77777777" w:rsidR="004A7AA4" w:rsidRDefault="004A7AA4" w:rsidP="004A7AA4">
      <w:pPr>
        <w:rPr>
          <w:bCs/>
        </w:rPr>
      </w:pPr>
      <w:r w:rsidRPr="008E24DE">
        <w:rPr>
          <w:bCs/>
        </w:rPr>
        <w:t>A range of templates to support the contract lifecycle will continue to be updated and available.</w:t>
      </w:r>
    </w:p>
    <w:p w14:paraId="6E36566A" w14:textId="77777777" w:rsidR="004A7AA4" w:rsidRDefault="00AF1CD2" w:rsidP="00AF1CD2">
      <w:pPr>
        <w:pStyle w:val="Heading3"/>
      </w:pPr>
      <w:bookmarkStart w:id="33" w:name="_Toc117766942"/>
      <w:r>
        <w:t>Contract Management</w:t>
      </w:r>
      <w:bookmarkEnd w:id="33"/>
    </w:p>
    <w:p w14:paraId="359E054A" w14:textId="77777777" w:rsidR="00B0138C" w:rsidRPr="00B0138C" w:rsidRDefault="00B0138C" w:rsidP="00B0138C">
      <w:r>
        <w:t>To support internal stakeholders in the management of the Council contracts procurement have produced a number of guides and assessments.  All documents can be found on the Intranet</w:t>
      </w:r>
    </w:p>
    <w:p w14:paraId="0A3DA733" w14:textId="77777777" w:rsidR="00AF1CD2" w:rsidRPr="00C927D0" w:rsidRDefault="00AF1CD2" w:rsidP="00AF1CD2">
      <w:pPr>
        <w:pStyle w:val="ListParagraph"/>
        <w:numPr>
          <w:ilvl w:val="0"/>
          <w:numId w:val="3"/>
        </w:numPr>
        <w:rPr>
          <w:rFonts w:asciiTheme="minorHAnsi" w:hAnsiTheme="minorHAnsi" w:cstheme="minorHAnsi"/>
          <w:sz w:val="20"/>
          <w:szCs w:val="20"/>
        </w:rPr>
      </w:pPr>
      <w:r w:rsidRPr="0039786B">
        <w:rPr>
          <w:rFonts w:asciiTheme="minorHAnsi" w:hAnsiTheme="minorHAnsi" w:cstheme="minorHAnsi"/>
          <w:sz w:val="20"/>
          <w:szCs w:val="20"/>
        </w:rPr>
        <w:t xml:space="preserve">A contract management </w:t>
      </w:r>
      <w:r>
        <w:rPr>
          <w:rFonts w:asciiTheme="minorHAnsi" w:hAnsiTheme="minorHAnsi" w:cstheme="minorHAnsi"/>
          <w:sz w:val="20"/>
          <w:szCs w:val="20"/>
        </w:rPr>
        <w:t>guidance</w:t>
      </w:r>
      <w:r w:rsidRPr="0039786B">
        <w:rPr>
          <w:rFonts w:asciiTheme="minorHAnsi" w:hAnsiTheme="minorHAnsi" w:cstheme="minorHAnsi"/>
          <w:sz w:val="20"/>
          <w:szCs w:val="20"/>
        </w:rPr>
        <w:t xml:space="preserve"> document detailing the Contract Manager Obligations</w:t>
      </w:r>
      <w:r w:rsidR="00B0138C">
        <w:rPr>
          <w:rFonts w:asciiTheme="minorHAnsi" w:hAnsiTheme="minorHAnsi" w:cstheme="minorHAnsi"/>
          <w:sz w:val="20"/>
          <w:szCs w:val="20"/>
        </w:rPr>
        <w:t>;</w:t>
      </w:r>
    </w:p>
    <w:p w14:paraId="7A4415A8" w14:textId="77777777" w:rsidR="00AF1CD2" w:rsidRDefault="00AF1CD2" w:rsidP="00AF1CD2">
      <w:pPr>
        <w:pStyle w:val="ListParagraph"/>
        <w:numPr>
          <w:ilvl w:val="0"/>
          <w:numId w:val="3"/>
        </w:numPr>
        <w:tabs>
          <w:tab w:val="num" w:pos="720"/>
        </w:tabs>
        <w:rPr>
          <w:rFonts w:asciiTheme="minorHAnsi" w:hAnsiTheme="minorHAnsi" w:cstheme="minorHAnsi"/>
          <w:sz w:val="20"/>
          <w:szCs w:val="20"/>
        </w:rPr>
      </w:pPr>
      <w:r w:rsidRPr="00B03165">
        <w:rPr>
          <w:rFonts w:asciiTheme="minorHAnsi" w:hAnsiTheme="minorHAnsi" w:cstheme="minorHAnsi"/>
          <w:sz w:val="20"/>
          <w:szCs w:val="20"/>
        </w:rPr>
        <w:t>A selection of</w:t>
      </w:r>
      <w:r>
        <w:rPr>
          <w:rFonts w:asciiTheme="minorHAnsi" w:hAnsiTheme="minorHAnsi" w:cstheme="minorHAnsi"/>
          <w:sz w:val="20"/>
          <w:szCs w:val="20"/>
        </w:rPr>
        <w:t xml:space="preserve"> contract management </w:t>
      </w:r>
      <w:r w:rsidRPr="00B03165">
        <w:rPr>
          <w:rFonts w:asciiTheme="minorHAnsi" w:hAnsiTheme="minorHAnsi" w:cstheme="minorHAnsi"/>
          <w:sz w:val="20"/>
          <w:szCs w:val="20"/>
        </w:rPr>
        <w:t xml:space="preserve">KPI’s and SLA’s, </w:t>
      </w:r>
    </w:p>
    <w:p w14:paraId="20FFCED6" w14:textId="77777777" w:rsidR="00AF1CD2" w:rsidRDefault="00B0138C" w:rsidP="00AF1CD2">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Guidance d</w:t>
      </w:r>
      <w:r w:rsidR="00AF1CD2">
        <w:rPr>
          <w:rFonts w:asciiTheme="minorHAnsi" w:hAnsiTheme="minorHAnsi" w:cstheme="minorHAnsi"/>
          <w:sz w:val="20"/>
          <w:szCs w:val="20"/>
        </w:rPr>
        <w:t>eveloped following an audit in 2020 where it was found that Key Performance Indicators and Service Level Agreements had not been incorporated as a standard in the tendering process.</w:t>
      </w:r>
    </w:p>
    <w:p w14:paraId="10AEA483" w14:textId="77777777" w:rsidR="00AF1CD2" w:rsidRPr="00B03165" w:rsidRDefault="00AF1CD2" w:rsidP="00AF1CD2">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This can be found at appendix </w:t>
      </w:r>
      <w:r w:rsidR="00B0138C">
        <w:rPr>
          <w:rFonts w:asciiTheme="minorHAnsi" w:hAnsiTheme="minorHAnsi" w:cstheme="minorHAnsi"/>
          <w:sz w:val="20"/>
          <w:szCs w:val="20"/>
        </w:rPr>
        <w:t>2</w:t>
      </w:r>
      <w:r>
        <w:rPr>
          <w:rFonts w:asciiTheme="minorHAnsi" w:hAnsiTheme="minorHAnsi" w:cstheme="minorHAnsi"/>
          <w:sz w:val="20"/>
          <w:szCs w:val="20"/>
        </w:rPr>
        <w:t xml:space="preserve"> and on the intranet and will continuously evolve.</w:t>
      </w:r>
    </w:p>
    <w:p w14:paraId="16E9F4FB" w14:textId="77777777" w:rsidR="00AF1CD2" w:rsidRPr="00B03165" w:rsidRDefault="00AF1CD2" w:rsidP="00AF1CD2">
      <w:pPr>
        <w:pStyle w:val="ListParagraph"/>
        <w:numPr>
          <w:ilvl w:val="0"/>
          <w:numId w:val="3"/>
        </w:numPr>
        <w:tabs>
          <w:tab w:val="num" w:pos="720"/>
        </w:tabs>
        <w:rPr>
          <w:rFonts w:asciiTheme="minorHAnsi" w:hAnsiTheme="minorHAnsi" w:cstheme="minorHAnsi"/>
          <w:sz w:val="20"/>
          <w:szCs w:val="20"/>
        </w:rPr>
      </w:pPr>
      <w:r w:rsidRPr="00B03165">
        <w:rPr>
          <w:rFonts w:asciiTheme="minorHAnsi" w:hAnsiTheme="minorHAnsi" w:cstheme="minorHAnsi"/>
          <w:sz w:val="20"/>
          <w:szCs w:val="20"/>
        </w:rPr>
        <w:t>An equality and diversity impact assessment</w:t>
      </w:r>
      <w:r w:rsidR="00B0138C">
        <w:rPr>
          <w:rFonts w:asciiTheme="minorHAnsi" w:hAnsiTheme="minorHAnsi" w:cstheme="minorHAnsi"/>
          <w:sz w:val="20"/>
          <w:szCs w:val="20"/>
        </w:rPr>
        <w:t>;</w:t>
      </w:r>
    </w:p>
    <w:p w14:paraId="28680E49" w14:textId="77777777" w:rsidR="00AF1CD2" w:rsidRPr="00B03165" w:rsidRDefault="00AF1CD2" w:rsidP="00AF1CD2">
      <w:pPr>
        <w:pStyle w:val="ListParagraph"/>
        <w:numPr>
          <w:ilvl w:val="0"/>
          <w:numId w:val="3"/>
        </w:numPr>
        <w:tabs>
          <w:tab w:val="num" w:pos="720"/>
        </w:tabs>
        <w:rPr>
          <w:rFonts w:asciiTheme="minorHAnsi" w:hAnsiTheme="minorHAnsi" w:cstheme="minorHAnsi"/>
          <w:sz w:val="20"/>
          <w:szCs w:val="20"/>
        </w:rPr>
      </w:pPr>
      <w:r w:rsidRPr="00B03165">
        <w:rPr>
          <w:rFonts w:asciiTheme="minorHAnsi" w:hAnsiTheme="minorHAnsi" w:cstheme="minorHAnsi"/>
          <w:sz w:val="20"/>
          <w:szCs w:val="20"/>
        </w:rPr>
        <w:t>A sustainability impact assessment ;</w:t>
      </w:r>
    </w:p>
    <w:p w14:paraId="3AF8DCD6" w14:textId="77777777" w:rsidR="00AF1CD2" w:rsidRPr="00B03165" w:rsidRDefault="00AF1CD2" w:rsidP="00AF1CD2">
      <w:pPr>
        <w:pStyle w:val="ListParagraph"/>
        <w:numPr>
          <w:ilvl w:val="0"/>
          <w:numId w:val="3"/>
        </w:numPr>
        <w:tabs>
          <w:tab w:val="num" w:pos="720"/>
        </w:tabs>
        <w:rPr>
          <w:rFonts w:asciiTheme="minorHAnsi" w:hAnsiTheme="minorHAnsi" w:cstheme="minorHAnsi"/>
          <w:sz w:val="20"/>
          <w:szCs w:val="20"/>
        </w:rPr>
      </w:pPr>
      <w:r w:rsidRPr="00B03165">
        <w:rPr>
          <w:rFonts w:asciiTheme="minorHAnsi" w:hAnsiTheme="minorHAnsi" w:cstheme="minorHAnsi"/>
          <w:sz w:val="20"/>
          <w:szCs w:val="20"/>
        </w:rPr>
        <w:t>A number of other tools to support the contract Management process</w:t>
      </w:r>
    </w:p>
    <w:p w14:paraId="783CE12B" w14:textId="77777777" w:rsidR="00AF1CD2" w:rsidRDefault="00AF1CD2" w:rsidP="00AF1CD2">
      <w:pPr>
        <w:rPr>
          <w:rFonts w:cstheme="minorHAnsi"/>
        </w:rPr>
      </w:pPr>
      <w:r w:rsidRPr="00B03165">
        <w:rPr>
          <w:rFonts w:cstheme="minorHAnsi"/>
        </w:rPr>
        <w:t>Procurement will continually review and update the documents in line with external</w:t>
      </w:r>
      <w:r>
        <w:rPr>
          <w:rFonts w:cstheme="minorHAnsi"/>
        </w:rPr>
        <w:t xml:space="preserve"> Regulations and internal rules and will work with service areas to ensure that contract managers understand the requirements from both the buyer and supplier perspective.</w:t>
      </w:r>
    </w:p>
    <w:p w14:paraId="5297303F" w14:textId="77777777" w:rsidR="00AF1CD2" w:rsidRDefault="00AF1CD2" w:rsidP="00AF1CD2">
      <w:pPr>
        <w:rPr>
          <w:rFonts w:cstheme="minorHAnsi"/>
        </w:rPr>
      </w:pPr>
      <w:r>
        <w:rPr>
          <w:rFonts w:cstheme="minorHAnsi"/>
        </w:rPr>
        <w:t xml:space="preserve">All Guidance documents and templates can be found at </w:t>
      </w:r>
      <w:hyperlink r:id="rId27" w:history="1">
        <w:r>
          <w:rPr>
            <w:rStyle w:val="Hyperlink"/>
          </w:rPr>
          <w:t>Procurement Documents and Templates - tasks and guides</w:t>
        </w:r>
      </w:hyperlink>
    </w:p>
    <w:p w14:paraId="0D22C405" w14:textId="77777777" w:rsidR="0047094A" w:rsidRDefault="0047094A" w:rsidP="00944D24">
      <w:pPr>
        <w:pStyle w:val="Heading3"/>
      </w:pPr>
      <w:bookmarkStart w:id="34" w:name="_Toc117766943"/>
      <w:r>
        <w:t>Integrated Contract and Commercial Capability</w:t>
      </w:r>
      <w:bookmarkEnd w:id="34"/>
    </w:p>
    <w:p w14:paraId="09C6B336" w14:textId="77777777" w:rsidR="0047094A" w:rsidRDefault="0047094A" w:rsidP="0047094A">
      <w:r>
        <w:t>Contract Management must be embedded in a more holistic way across the Council and commercial knowledge of both the buyer and seller side understood if the Council is to improve its reputation as a good customer to do business with.  This will increase the number of suppliers that wish to tender for Council opportunities which will ultimately result in better value for money (cost and quality).</w:t>
      </w:r>
    </w:p>
    <w:p w14:paraId="26D5C55B" w14:textId="77777777" w:rsidR="00B0138C" w:rsidRDefault="00B0138C" w:rsidP="0047094A">
      <w:r>
        <w:t>The following diagram</w:t>
      </w:r>
      <w:r w:rsidR="00781F3C">
        <w:t>s</w:t>
      </w:r>
      <w:r>
        <w:t xml:space="preserve"> details the required integrated Contract and Commercial Capability</w:t>
      </w:r>
      <w:r w:rsidR="00781F3C">
        <w:t xml:space="preserve"> and contract lifecycle</w:t>
      </w:r>
      <w:r>
        <w:t xml:space="preserve"> the Council buyers will need to understand</w:t>
      </w:r>
      <w:r w:rsidR="00781F3C">
        <w:t xml:space="preserve"> and follow.</w:t>
      </w:r>
    </w:p>
    <w:p w14:paraId="72010A60" w14:textId="77777777" w:rsidR="0047094A" w:rsidRDefault="0047094A" w:rsidP="0047094A"/>
    <w:p w14:paraId="2CF7E84E" w14:textId="77777777" w:rsidR="0047094A" w:rsidRPr="00ED357A" w:rsidRDefault="0047094A" w:rsidP="0047094A"/>
    <w:p w14:paraId="3D97D3AD" w14:textId="77777777" w:rsidR="0047094A" w:rsidRPr="00B03165" w:rsidRDefault="0047094A" w:rsidP="0047094A">
      <w:pPr>
        <w:rPr>
          <w:rFonts w:cstheme="minorHAnsi"/>
        </w:rPr>
      </w:pPr>
      <w:r w:rsidRPr="00325629">
        <w:rPr>
          <w:rFonts w:cstheme="minorHAnsi"/>
          <w:noProof/>
          <w:lang w:eastAsia="en-GB"/>
        </w:rPr>
        <w:drawing>
          <wp:inline distT="0" distB="0" distL="0" distR="0" wp14:anchorId="18AC75C4" wp14:editId="2B2E8FA2">
            <wp:extent cx="4044764" cy="3619500"/>
            <wp:effectExtent l="0" t="0" r="0" b="0"/>
            <wp:docPr id="11" name="Picture 11" descr="https://www.worldcc.com/portals/iaccm/images/Graphics/03%2001%20Integrated-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worldcc.com/portals/iaccm/images/Graphics/03%2001%20Integrated-CCC.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6084" cy="3683321"/>
                    </a:xfrm>
                    <a:prstGeom prst="rect">
                      <a:avLst/>
                    </a:prstGeom>
                    <a:noFill/>
                    <a:extLst/>
                  </pic:spPr>
                </pic:pic>
              </a:graphicData>
            </a:graphic>
          </wp:inline>
        </w:drawing>
      </w:r>
    </w:p>
    <w:p w14:paraId="04A05770" w14:textId="77777777" w:rsidR="0047094A" w:rsidRDefault="0047094A" w:rsidP="0047094A">
      <w:pPr>
        <w:pStyle w:val="Heading3"/>
        <w:rPr>
          <w:rFonts w:cstheme="minorHAnsi"/>
          <w:caps w:val="0"/>
          <w:color w:val="auto"/>
          <w:spacing w:val="0"/>
        </w:rPr>
      </w:pPr>
    </w:p>
    <w:p w14:paraId="16471106" w14:textId="77777777" w:rsidR="0047094A" w:rsidRDefault="0047094A" w:rsidP="00944D24">
      <w:pPr>
        <w:pStyle w:val="Heading3"/>
      </w:pPr>
      <w:bookmarkStart w:id="35" w:name="_Toc117766944"/>
      <w:r>
        <w:t>Contract Lifecycle Management</w:t>
      </w:r>
      <w:bookmarkEnd w:id="35"/>
    </w:p>
    <w:p w14:paraId="3F64C289" w14:textId="77777777" w:rsidR="0047094A" w:rsidRDefault="0047094A" w:rsidP="0047094A">
      <w:r>
        <w:t>Contract Lifecycle Management has a number of key elements and can be depicted diagrammatically as:</w:t>
      </w:r>
    </w:p>
    <w:p w14:paraId="1787D3D2" w14:textId="77777777" w:rsidR="0047094A" w:rsidRDefault="0047094A" w:rsidP="0047094A">
      <w:r w:rsidRPr="00E65B6A">
        <w:rPr>
          <w:b/>
          <w:bCs/>
          <w:noProof/>
          <w:color w:val="374C80" w:themeColor="accent1" w:themeShade="BF"/>
          <w:sz w:val="32"/>
          <w:szCs w:val="32"/>
          <w:lang w:eastAsia="en-GB"/>
        </w:rPr>
        <w:drawing>
          <wp:inline distT="0" distB="0" distL="0" distR="0" wp14:anchorId="344912DE" wp14:editId="7265A064">
            <wp:extent cx="2381250" cy="2494645"/>
            <wp:effectExtent l="0" t="0" r="0" b="1270"/>
            <wp:docPr id="12" name="Picture 2" descr="https://www.ivalua.com/wp-content/uploads/2021/04/Ivalua-Contract-Lifecycle-Management-Process-2021-e1617708041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ivalua.com/wp-content/uploads/2021/04/Ivalua-Contract-Lifecycle-Management-Process-2021-e161770804145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9101" cy="2565727"/>
                    </a:xfrm>
                    <a:prstGeom prst="rect">
                      <a:avLst/>
                    </a:prstGeom>
                    <a:noFill/>
                    <a:extLst/>
                  </pic:spPr>
                </pic:pic>
              </a:graphicData>
            </a:graphic>
          </wp:inline>
        </w:drawing>
      </w:r>
    </w:p>
    <w:p w14:paraId="50D5CECB" w14:textId="77777777" w:rsidR="0047094A" w:rsidRPr="00E65B6A" w:rsidRDefault="0047094A" w:rsidP="0047094A">
      <w:r>
        <w:t xml:space="preserve">The Procurement Team have developed a contract Management Guide for Managers (Found on the intranet </w:t>
      </w:r>
      <w:hyperlink r:id="rId30" w:history="1">
        <w:r>
          <w:rPr>
            <w:rStyle w:val="Hyperlink"/>
          </w:rPr>
          <w:t>Procurement Documents and Templates - tasks and guides</w:t>
        </w:r>
      </w:hyperlink>
      <w:r>
        <w:t xml:space="preserve">) and </w:t>
      </w:r>
      <w:r w:rsidRPr="00E65B6A">
        <w:t>Procurement will support and train if required</w:t>
      </w:r>
      <w:r>
        <w:t xml:space="preserve"> commissioning and</w:t>
      </w:r>
      <w:r w:rsidRPr="00E65B6A">
        <w:t xml:space="preserve"> contract managers throughout the procurement process but more specifically in ensuring that the contract delivers over and above what is expected by following the Contract Lifecycle Management</w:t>
      </w:r>
      <w:r>
        <w:t xml:space="preserve"> including </w:t>
      </w:r>
    </w:p>
    <w:p w14:paraId="356B21BB" w14:textId="77777777" w:rsidR="0047094A" w:rsidRPr="00E65B6A" w:rsidRDefault="0047094A" w:rsidP="0047094A">
      <w:pPr>
        <w:numPr>
          <w:ilvl w:val="0"/>
          <w:numId w:val="26"/>
        </w:numPr>
        <w:spacing w:after="0"/>
      </w:pPr>
      <w:r w:rsidRPr="00E65B6A">
        <w:t>Request or initiation (new or review an existing contract)</w:t>
      </w:r>
    </w:p>
    <w:p w14:paraId="69F9D08F" w14:textId="77777777" w:rsidR="0047094A" w:rsidRPr="00E65B6A" w:rsidRDefault="0047094A" w:rsidP="0047094A">
      <w:pPr>
        <w:numPr>
          <w:ilvl w:val="0"/>
          <w:numId w:val="26"/>
        </w:numPr>
        <w:spacing w:after="0"/>
      </w:pPr>
      <w:r w:rsidRPr="00E65B6A">
        <w:t>Contract creation &amp; authoring (assemble a contract using existing and approved templates – self service capability)</w:t>
      </w:r>
    </w:p>
    <w:p w14:paraId="2FC2DEAF" w14:textId="77777777" w:rsidR="0047094A" w:rsidRPr="00E65B6A" w:rsidRDefault="0047094A" w:rsidP="0047094A">
      <w:pPr>
        <w:numPr>
          <w:ilvl w:val="0"/>
          <w:numId w:val="26"/>
        </w:numPr>
        <w:spacing w:after="0"/>
      </w:pPr>
      <w:r w:rsidRPr="00E65B6A">
        <w:t>Contract negotiation &amp; Review (version control &amp; audit trail)</w:t>
      </w:r>
    </w:p>
    <w:p w14:paraId="61E5A628" w14:textId="77777777" w:rsidR="0047094A" w:rsidRPr="00E65B6A" w:rsidRDefault="0047094A" w:rsidP="0047094A">
      <w:pPr>
        <w:numPr>
          <w:ilvl w:val="0"/>
          <w:numId w:val="26"/>
        </w:numPr>
        <w:spacing w:after="0"/>
      </w:pPr>
      <w:r w:rsidRPr="00E65B6A">
        <w:t>Contract approval &amp; execution (correct approval, signing &amp; sealing)</w:t>
      </w:r>
    </w:p>
    <w:p w14:paraId="42242A6B" w14:textId="77777777" w:rsidR="0047094A" w:rsidRPr="00E65B6A" w:rsidRDefault="0047094A" w:rsidP="0047094A">
      <w:pPr>
        <w:numPr>
          <w:ilvl w:val="0"/>
          <w:numId w:val="26"/>
        </w:numPr>
        <w:spacing w:after="0"/>
      </w:pPr>
      <w:r w:rsidRPr="00E65B6A">
        <w:t>Contract performance and analytics (milestones, obligations, payments, rebates, discounts) tracking, assigning and completing is critical to achieving the full value from the contract</w:t>
      </w:r>
      <w:r>
        <w:t xml:space="preserve">. </w:t>
      </w:r>
    </w:p>
    <w:p w14:paraId="007C1534" w14:textId="77777777" w:rsidR="0047094A" w:rsidRPr="00E65B6A" w:rsidRDefault="0047094A" w:rsidP="0047094A">
      <w:pPr>
        <w:numPr>
          <w:ilvl w:val="0"/>
          <w:numId w:val="26"/>
        </w:numPr>
        <w:spacing w:after="0"/>
      </w:pPr>
      <w:r w:rsidRPr="00E65B6A">
        <w:t>Contract amendment (part of the contract lifecycle whether we like it or not) dealt with efficiently without compromising the process or the guidelines in place</w:t>
      </w:r>
    </w:p>
    <w:p w14:paraId="33462690" w14:textId="77777777" w:rsidR="0047094A" w:rsidRPr="00E65B6A" w:rsidRDefault="0047094A" w:rsidP="0047094A">
      <w:pPr>
        <w:numPr>
          <w:ilvl w:val="0"/>
          <w:numId w:val="26"/>
        </w:numPr>
        <w:spacing w:after="0"/>
      </w:pPr>
      <w:r w:rsidRPr="00E65B6A">
        <w:t>Contract expiry or renewal (using the procurement contract register/pipeline)</w:t>
      </w:r>
    </w:p>
    <w:p w14:paraId="25421E68" w14:textId="77777777" w:rsidR="0047094A" w:rsidRPr="00A72609" w:rsidRDefault="0047094A" w:rsidP="0047094A">
      <w:r>
        <w:t xml:space="preserve">Procurement will keep up to date with relevant training available and will encourage commissioning officers and contract managers within the authority to access external training courses available on the subject such as the Contract Management Foundation course on offer from the Government Commercial College  </w:t>
      </w:r>
    </w:p>
    <w:p w14:paraId="749554AE" w14:textId="77777777" w:rsidR="00AF1CD2" w:rsidRDefault="00233EB0" w:rsidP="0047094A">
      <w:pPr>
        <w:rPr>
          <w:rFonts w:cstheme="minorHAnsi"/>
        </w:rPr>
      </w:pPr>
      <w:hyperlink r:id="rId31" w:history="1">
        <w:r w:rsidR="0047094A">
          <w:rPr>
            <w:rStyle w:val="Hyperlink"/>
          </w:rPr>
          <w:t>Foundation (govcommercialcollege.co.uk)</w:t>
        </w:r>
      </w:hyperlink>
    </w:p>
    <w:p w14:paraId="1FDE980D" w14:textId="07F466C7" w:rsidR="007C155D" w:rsidRDefault="007C155D">
      <w:pPr>
        <w:rPr>
          <w:bCs/>
        </w:rPr>
      </w:pPr>
      <w:r>
        <w:rPr>
          <w:bCs/>
        </w:rPr>
        <w:br w:type="page"/>
      </w:r>
    </w:p>
    <w:p w14:paraId="397BFE1E" w14:textId="77777777" w:rsidR="00B0138C" w:rsidRPr="004A7AA4" w:rsidRDefault="00B0138C" w:rsidP="00B0138C">
      <w:pPr>
        <w:pStyle w:val="Heading1"/>
      </w:pPr>
      <w:bookmarkStart w:id="36" w:name="_Toc117766945"/>
      <w:r>
        <w:t>Appendix 2</w:t>
      </w:r>
      <w:bookmarkEnd w:id="36"/>
    </w:p>
    <w:p w14:paraId="64D0A51B" w14:textId="77777777" w:rsidR="004A7AA4" w:rsidRPr="004A7AA4" w:rsidRDefault="00B0138C" w:rsidP="00B0138C">
      <w:pPr>
        <w:pStyle w:val="Heading2"/>
      </w:pPr>
      <w:bookmarkStart w:id="37" w:name="_Toc117766946"/>
      <w:r>
        <w:t>KPI and SLA Monitoring</w:t>
      </w:r>
      <w:bookmarkEnd w:id="37"/>
    </w:p>
    <w:p w14:paraId="335ADF57" w14:textId="77777777" w:rsidR="002875F7" w:rsidRDefault="006437CD" w:rsidP="006437CD">
      <w:pPr>
        <w:pStyle w:val="Heading3"/>
      </w:pPr>
      <w:bookmarkStart w:id="38" w:name="_Toc117766947"/>
      <w:r>
        <w:t>KPI Reporting</w:t>
      </w:r>
      <w:bookmarkEnd w:id="38"/>
    </w:p>
    <w:p w14:paraId="4036E0FA" w14:textId="77777777" w:rsidR="006437CD" w:rsidRDefault="005B58B7" w:rsidP="006437CD">
      <w:pPr>
        <w:rPr>
          <w:bCs/>
        </w:rPr>
      </w:pPr>
      <w:r>
        <w:rPr>
          <w:bCs/>
        </w:rPr>
        <w:t>A</w:t>
      </w:r>
      <w:r w:rsidRPr="008F3339">
        <w:rPr>
          <w:bCs/>
        </w:rPr>
        <w:t xml:space="preserve"> </w:t>
      </w:r>
      <w:r w:rsidR="006437CD" w:rsidRPr="008F3339">
        <w:rPr>
          <w:bCs/>
        </w:rPr>
        <w:t xml:space="preserve">guidance document has been developed </w:t>
      </w:r>
      <w:r w:rsidR="006B7ABA">
        <w:rPr>
          <w:bCs/>
        </w:rPr>
        <w:t xml:space="preserve">by the </w:t>
      </w:r>
      <w:r w:rsidR="00BE7706">
        <w:rPr>
          <w:bCs/>
        </w:rPr>
        <w:t>Procurement</w:t>
      </w:r>
      <w:r w:rsidR="006B7ABA">
        <w:rPr>
          <w:bCs/>
        </w:rPr>
        <w:t xml:space="preserve"> Team </w:t>
      </w:r>
      <w:r w:rsidR="006437CD" w:rsidRPr="008F3339">
        <w:rPr>
          <w:bCs/>
        </w:rPr>
        <w:t xml:space="preserve">to support </w:t>
      </w:r>
      <w:r w:rsidR="00A85A6C">
        <w:rPr>
          <w:bCs/>
        </w:rPr>
        <w:t>commissioning officers and contract managers</w:t>
      </w:r>
      <w:r w:rsidR="00A85A6C" w:rsidRPr="008F3339">
        <w:rPr>
          <w:bCs/>
        </w:rPr>
        <w:t xml:space="preserve"> </w:t>
      </w:r>
      <w:r w:rsidR="006437CD" w:rsidRPr="008F3339">
        <w:rPr>
          <w:bCs/>
        </w:rPr>
        <w:t>in the contract management and performance of the contract.</w:t>
      </w:r>
    </w:p>
    <w:p w14:paraId="14619E88" w14:textId="77777777" w:rsidR="00944D24" w:rsidRDefault="006437CD" w:rsidP="006437CD">
      <w:pPr>
        <w:rPr>
          <w:b/>
        </w:rPr>
      </w:pPr>
      <w:r w:rsidRPr="006437CD">
        <w:rPr>
          <w:b/>
          <w:noProof/>
          <w:sz w:val="24"/>
          <w:szCs w:val="24"/>
          <w:lang w:eastAsia="en-GB"/>
        </w:rPr>
        <w:drawing>
          <wp:inline distT="0" distB="0" distL="0" distR="0" wp14:anchorId="3FC7230D" wp14:editId="559873FA">
            <wp:extent cx="4318000" cy="2085473"/>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uring performance.jfif"/>
                    <pic:cNvPicPr/>
                  </pic:nvPicPr>
                  <pic:blipFill>
                    <a:blip r:embed="rId32">
                      <a:extLst>
                        <a:ext uri="{28A0092B-C50C-407E-A947-70E740481C1C}">
                          <a14:useLocalDpi xmlns:a14="http://schemas.microsoft.com/office/drawing/2010/main" val="0"/>
                        </a:ext>
                      </a:extLst>
                    </a:blip>
                    <a:stretch>
                      <a:fillRect/>
                    </a:stretch>
                  </pic:blipFill>
                  <pic:spPr>
                    <a:xfrm>
                      <a:off x="0" y="0"/>
                      <a:ext cx="4384074" cy="2117385"/>
                    </a:xfrm>
                    <a:prstGeom prst="rect">
                      <a:avLst/>
                    </a:prstGeom>
                  </pic:spPr>
                </pic:pic>
              </a:graphicData>
            </a:graphic>
          </wp:inline>
        </w:drawing>
      </w:r>
    </w:p>
    <w:p w14:paraId="000B745E" w14:textId="77777777" w:rsidR="006437CD" w:rsidRPr="006437CD" w:rsidRDefault="006437CD" w:rsidP="006437CD">
      <w:pPr>
        <w:rPr>
          <w:b/>
          <w:sz w:val="72"/>
          <w:szCs w:val="72"/>
        </w:rPr>
      </w:pPr>
      <w:r>
        <w:rPr>
          <w:b/>
        </w:rPr>
        <w:t>Introduction</w:t>
      </w:r>
    </w:p>
    <w:p w14:paraId="527BED06" w14:textId="77777777" w:rsidR="006437CD" w:rsidRDefault="006437CD" w:rsidP="006437CD">
      <w:r w:rsidRPr="007A3C81">
        <w:t>It is good</w:t>
      </w:r>
      <w:r>
        <w:t xml:space="preserve"> contract management</w:t>
      </w:r>
      <w:r w:rsidRPr="007A3C81">
        <w:t xml:space="preserve"> to know that you are getting what you contracted for. This may be as simple as confirming on time delivery of goods that conform to specifications. However, with repeat business and/or more complex service requirements it makes sense to monitor performance </w:t>
      </w:r>
      <w:r>
        <w:t>consistently throughout the contract.</w:t>
      </w:r>
      <w:r w:rsidRPr="007A3C81">
        <w:t xml:space="preserve"> </w:t>
      </w:r>
    </w:p>
    <w:p w14:paraId="7740E5D4" w14:textId="77777777" w:rsidR="006437CD" w:rsidRDefault="006437CD" w:rsidP="006437CD">
      <w:r>
        <w:t>It is important to understand that Key Performance Indicators (KPIs) and Service Level Agreements (SLAs) are not the same, even though there is an overlap.</w:t>
      </w:r>
    </w:p>
    <w:p w14:paraId="0FBDFE04" w14:textId="77777777" w:rsidR="006437CD" w:rsidRDefault="006437CD" w:rsidP="006437CD">
      <w:r>
        <w:t>Quite simply, KPIs are the way you measure how well individuals, business units, projects and companies are performing against their strategic goals (the contract).</w:t>
      </w:r>
    </w:p>
    <w:p w14:paraId="06C686A5" w14:textId="77777777" w:rsidR="006437CD" w:rsidRDefault="006437CD" w:rsidP="006437CD">
      <w:r>
        <w:t>A SLA is also a tool to gauge performance, but it is different to a KPI, it’s an agreement detailing meaningful measurements of what the client will receive, the quality and timing, so that both the service provider and the client can clearly assess performance and any remedies or penalties, if any, should the agreed service levels not be achieved.</w:t>
      </w:r>
    </w:p>
    <w:p w14:paraId="09281B59" w14:textId="77777777" w:rsidR="006437CD" w:rsidRPr="007B4575" w:rsidRDefault="006437CD" w:rsidP="006437CD">
      <w:r>
        <w:t>The fact that SLAs must define the measurements of the service delivery means that many SLAs define KPIs.</w:t>
      </w:r>
    </w:p>
    <w:p w14:paraId="62ADC9AC" w14:textId="77777777" w:rsidR="006437CD" w:rsidRPr="007A3C81" w:rsidRDefault="006437CD" w:rsidP="006437CD">
      <w:pPr>
        <w:rPr>
          <w:b/>
        </w:rPr>
      </w:pPr>
      <w:r w:rsidRPr="007A3C81">
        <w:t>The level and frequency of performance monitoring is dependent on the value and criticality of the contract to the buying organisation</w:t>
      </w:r>
      <w:r>
        <w:t>.</w:t>
      </w:r>
    </w:p>
    <w:p w14:paraId="401EA8FF" w14:textId="77777777" w:rsidR="006437CD" w:rsidRDefault="006437CD" w:rsidP="006437CD">
      <w:r>
        <w:t>In order to measure KPI</w:t>
      </w:r>
      <w:r w:rsidRPr="001F28BE">
        <w:t xml:space="preserve">s </w:t>
      </w:r>
      <w:r>
        <w:t xml:space="preserve">it </w:t>
      </w:r>
      <w:r w:rsidRPr="001F28BE">
        <w:t>is important</w:t>
      </w:r>
      <w:r>
        <w:t xml:space="preserve"> that they are</w:t>
      </w:r>
      <w:r w:rsidRPr="001F28BE">
        <w:t xml:space="preserve"> SMART </w:t>
      </w:r>
      <w:r>
        <w:t>(</w:t>
      </w:r>
      <w:r w:rsidRPr="001F28BE">
        <w:t>Specific, Measureable, Achievable, Relevant and Timely</w:t>
      </w:r>
      <w:r>
        <w:t>)</w:t>
      </w:r>
      <w:r w:rsidRPr="001F28BE">
        <w:t>.</w:t>
      </w:r>
    </w:p>
    <w:p w14:paraId="73460C7C" w14:textId="77777777" w:rsidR="00A85A6C" w:rsidRPr="009120AF" w:rsidRDefault="00A85A6C" w:rsidP="00A85A6C">
      <w:pPr>
        <w:rPr>
          <w:bCs/>
        </w:rPr>
      </w:pPr>
      <w:r w:rsidRPr="009120AF">
        <w:rPr>
          <w:bCs/>
        </w:rPr>
        <w:t>The full guide with KPI Assessment template and example Service Levels and Key Performance Indicators structured into Quality, Delivery and Cost can be found on the intranet</w:t>
      </w:r>
    </w:p>
    <w:p w14:paraId="6159E6AF" w14:textId="77777777" w:rsidR="009120AF" w:rsidRPr="00A85A6C" w:rsidRDefault="00233EB0" w:rsidP="00A85A6C">
      <w:pPr>
        <w:rPr>
          <w:b/>
          <w:bCs/>
        </w:rPr>
      </w:pPr>
      <w:hyperlink r:id="rId33" w:history="1">
        <w:r w:rsidR="009120AF">
          <w:rPr>
            <w:rStyle w:val="Hyperlink"/>
          </w:rPr>
          <w:t>Procurement Documents and Templates - tasks and guides</w:t>
        </w:r>
      </w:hyperlink>
    </w:p>
    <w:p w14:paraId="50F3A84E" w14:textId="77777777" w:rsidR="002875F7" w:rsidRPr="002875F7" w:rsidRDefault="002875F7" w:rsidP="007C5C7A">
      <w:pPr>
        <w:pStyle w:val="Heading2"/>
      </w:pPr>
      <w:bookmarkStart w:id="39" w:name="_Toc117766948"/>
      <w:r>
        <w:t>Social Value, Sustainability and Ethical Procurement</w:t>
      </w:r>
      <w:bookmarkEnd w:id="39"/>
    </w:p>
    <w:p w14:paraId="2E8CA548" w14:textId="77777777" w:rsidR="007827AD" w:rsidRDefault="00944D24" w:rsidP="00944D24">
      <w:pPr>
        <w:pStyle w:val="Heading3"/>
      </w:pPr>
      <w:bookmarkStart w:id="40" w:name="_Toc117766949"/>
      <w:r>
        <w:t>Social Value</w:t>
      </w:r>
      <w:bookmarkEnd w:id="40"/>
    </w:p>
    <w:p w14:paraId="64AD990A" w14:textId="77777777" w:rsidR="00677072" w:rsidRDefault="00677072" w:rsidP="00677072">
      <w:pPr>
        <w:rPr>
          <w:bCs/>
        </w:rPr>
      </w:pPr>
      <w:r w:rsidRPr="008F3339">
        <w:rPr>
          <w:bCs/>
        </w:rPr>
        <w:t>Procurement have and will continue to develop a local</w:t>
      </w:r>
      <w:r w:rsidR="00781F3C">
        <w:rPr>
          <w:bCs/>
        </w:rPr>
        <w:t xml:space="preserve"> Oxford</w:t>
      </w:r>
      <w:r w:rsidRPr="008F3339">
        <w:rPr>
          <w:bCs/>
        </w:rPr>
        <w:t xml:space="preserve"> version of the National TOMs</w:t>
      </w:r>
      <w:r w:rsidR="00781F3C">
        <w:rPr>
          <w:bCs/>
        </w:rPr>
        <w:t xml:space="preserve"> (</w:t>
      </w:r>
      <w:proofErr w:type="spellStart"/>
      <w:r w:rsidR="00781F3C">
        <w:rPr>
          <w:bCs/>
        </w:rPr>
        <w:t>OxTOMs</w:t>
      </w:r>
      <w:proofErr w:type="spellEnd"/>
      <w:r w:rsidR="00781F3C">
        <w:rPr>
          <w:bCs/>
        </w:rPr>
        <w:t>)</w:t>
      </w:r>
      <w:r w:rsidRPr="008F3339">
        <w:rPr>
          <w:bCs/>
        </w:rPr>
        <w:t xml:space="preserve"> (Themes Outcomes and Measures) along with a Social Value </w:t>
      </w:r>
      <w:r>
        <w:rPr>
          <w:bCs/>
        </w:rPr>
        <w:t>guidance</w:t>
      </w:r>
    </w:p>
    <w:p w14:paraId="72D50552" w14:textId="77777777" w:rsidR="00F732E6" w:rsidRDefault="00FB1B2F" w:rsidP="00FB1B2F">
      <w:pPr>
        <w:rPr>
          <w:bCs/>
        </w:rPr>
      </w:pPr>
      <w:r>
        <w:rPr>
          <w:bCs/>
        </w:rPr>
        <w:t xml:space="preserve">To support </w:t>
      </w:r>
      <w:proofErr w:type="spellStart"/>
      <w:r>
        <w:rPr>
          <w:bCs/>
        </w:rPr>
        <w:t>OxTOMs</w:t>
      </w:r>
      <w:proofErr w:type="spellEnd"/>
      <w:r>
        <w:rPr>
          <w:bCs/>
        </w:rPr>
        <w:t xml:space="preserve"> </w:t>
      </w:r>
      <w:r w:rsidR="00254D07">
        <w:rPr>
          <w:bCs/>
        </w:rPr>
        <w:t>a</w:t>
      </w:r>
      <w:r>
        <w:rPr>
          <w:bCs/>
        </w:rPr>
        <w:t xml:space="preserve"> social value guidance document has been </w:t>
      </w:r>
      <w:r w:rsidR="00254D07">
        <w:rPr>
          <w:bCs/>
        </w:rPr>
        <w:t xml:space="preserve">developed and will be </w:t>
      </w:r>
      <w:r w:rsidR="00254D07" w:rsidRPr="008F3339">
        <w:rPr>
          <w:bCs/>
        </w:rPr>
        <w:t xml:space="preserve">updated in-line with any amendments to </w:t>
      </w:r>
      <w:proofErr w:type="spellStart"/>
      <w:r w:rsidR="00254D07" w:rsidRPr="008F3339">
        <w:rPr>
          <w:bCs/>
        </w:rPr>
        <w:t>OxTOMs</w:t>
      </w:r>
      <w:proofErr w:type="spellEnd"/>
      <w:r w:rsidR="00254D07">
        <w:rPr>
          <w:bCs/>
        </w:rPr>
        <w:t xml:space="preserve">. </w:t>
      </w:r>
    </w:p>
    <w:p w14:paraId="713A222F" w14:textId="77777777" w:rsidR="00FB1B2F" w:rsidRDefault="00254D07" w:rsidP="00FB1B2F">
      <w:pPr>
        <w:rPr>
          <w:bCs/>
        </w:rPr>
      </w:pPr>
      <w:r>
        <w:rPr>
          <w:bCs/>
        </w:rPr>
        <w:t>It can be found on the intranet</w:t>
      </w:r>
      <w:r w:rsidR="009120AF">
        <w:rPr>
          <w:bCs/>
        </w:rPr>
        <w:t xml:space="preserve"> at </w:t>
      </w:r>
      <w:hyperlink r:id="rId34" w:history="1">
        <w:r w:rsidR="009120AF">
          <w:rPr>
            <w:rStyle w:val="Hyperlink"/>
          </w:rPr>
          <w:t>Procurement Documents and Templates - tasks and guides</w:t>
        </w:r>
      </w:hyperlink>
    </w:p>
    <w:p w14:paraId="5E3E479A" w14:textId="77777777" w:rsidR="00232B84" w:rsidRDefault="00254D07" w:rsidP="00FB1B2F">
      <w:pPr>
        <w:rPr>
          <w:bCs/>
        </w:rPr>
      </w:pPr>
      <w:r>
        <w:rPr>
          <w:bCs/>
        </w:rPr>
        <w:t>The following flowchart should be considered by all commissioning officers</w:t>
      </w:r>
      <w:r w:rsidR="006B7ABA">
        <w:rPr>
          <w:bCs/>
        </w:rPr>
        <w:t xml:space="preserve"> in conjunction with the </w:t>
      </w:r>
      <w:proofErr w:type="spellStart"/>
      <w:r w:rsidR="006B7ABA">
        <w:rPr>
          <w:bCs/>
        </w:rPr>
        <w:t>OxTOMS</w:t>
      </w:r>
      <w:proofErr w:type="spellEnd"/>
    </w:p>
    <w:p w14:paraId="164DD9C1" w14:textId="77777777" w:rsidR="00232B84" w:rsidRDefault="00232B84" w:rsidP="00FB1B2F">
      <w:pPr>
        <w:rPr>
          <w:bCs/>
        </w:rPr>
      </w:pPr>
      <w:r w:rsidRPr="00232B84">
        <w:rPr>
          <w:bCs/>
          <w:noProof/>
          <w:lang w:eastAsia="en-GB"/>
        </w:rPr>
        <w:drawing>
          <wp:inline distT="0" distB="0" distL="0" distR="0" wp14:anchorId="54A617E2" wp14:editId="02EF1FAF">
            <wp:extent cx="5562600" cy="3429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563379" cy="3429480"/>
                    </a:xfrm>
                    <a:prstGeom prst="rect">
                      <a:avLst/>
                    </a:prstGeom>
                  </pic:spPr>
                </pic:pic>
              </a:graphicData>
            </a:graphic>
          </wp:inline>
        </w:drawing>
      </w:r>
    </w:p>
    <w:p w14:paraId="43A78FCA" w14:textId="77777777" w:rsidR="00232B84" w:rsidRDefault="00232B84" w:rsidP="00FB1B2F">
      <w:pPr>
        <w:rPr>
          <w:bCs/>
        </w:rPr>
      </w:pPr>
    </w:p>
    <w:p w14:paraId="0E440796" w14:textId="77777777" w:rsidR="00027556" w:rsidRDefault="00027556" w:rsidP="00781F3C">
      <w:pPr>
        <w:pStyle w:val="Heading3"/>
      </w:pPr>
      <w:bookmarkStart w:id="41" w:name="_Toc117766950"/>
      <w:r>
        <w:t>Sustainable Procurement</w:t>
      </w:r>
      <w:bookmarkEnd w:id="41"/>
    </w:p>
    <w:p w14:paraId="62E3B8BE" w14:textId="77777777" w:rsidR="00027556" w:rsidRDefault="00027556" w:rsidP="002875F7"/>
    <w:p w14:paraId="55333427" w14:textId="77777777" w:rsidR="00027556" w:rsidRPr="008F3339" w:rsidRDefault="00027556" w:rsidP="00944D24">
      <w:pPr>
        <w:pStyle w:val="Heading4"/>
      </w:pPr>
      <w:r w:rsidRPr="008F3339">
        <w:t>Sustainable Procurement Guide</w:t>
      </w:r>
    </w:p>
    <w:p w14:paraId="2864A1EC" w14:textId="77777777" w:rsidR="00027556" w:rsidRDefault="00A07682" w:rsidP="00027556">
      <w:pPr>
        <w:rPr>
          <w:b/>
          <w:bCs/>
          <w:color w:val="374C80" w:themeColor="accent1" w:themeShade="BF"/>
          <w:sz w:val="28"/>
          <w:szCs w:val="28"/>
        </w:rPr>
      </w:pPr>
      <w:r w:rsidRPr="001D0D76">
        <w:rPr>
          <w:rFonts w:cstheme="minorHAnsi"/>
        </w:rPr>
        <w:t>This Sustainable Procurement checklist must be completed by the lead project officer prior to commencing all procurements over £</w:t>
      </w:r>
      <w:r>
        <w:rPr>
          <w:rFonts w:cstheme="minorHAnsi"/>
        </w:rPr>
        <w:t>5m</w:t>
      </w:r>
      <w:r w:rsidRPr="001D0D76">
        <w:rPr>
          <w:rFonts w:cstheme="minorHAnsi"/>
        </w:rPr>
        <w:t>, providing answers to each question in the ‘‘Response’ section.</w:t>
      </w:r>
    </w:p>
    <w:p w14:paraId="37A4A7D6" w14:textId="77777777" w:rsidR="00027556" w:rsidRPr="001D0D76" w:rsidRDefault="00027556" w:rsidP="00027556">
      <w:pPr>
        <w:jc w:val="both"/>
        <w:rPr>
          <w:rFonts w:cstheme="minorHAnsi"/>
        </w:rPr>
      </w:pPr>
      <w:r w:rsidRPr="001D0D76">
        <w:rPr>
          <w:rFonts w:cstheme="minorHAnsi"/>
          <w:noProof/>
          <w:lang w:eastAsia="en-GB"/>
        </w:rPr>
        <w:drawing>
          <wp:anchor distT="0" distB="0" distL="114300" distR="114300" simplePos="0" relativeHeight="251666432" behindDoc="1" locked="0" layoutInCell="1" allowOverlap="1" wp14:anchorId="2A9F233D" wp14:editId="3617AA83">
            <wp:simplePos x="0" y="0"/>
            <wp:positionH relativeFrom="column">
              <wp:posOffset>5169535</wp:posOffset>
            </wp:positionH>
            <wp:positionV relativeFrom="paragraph">
              <wp:posOffset>357896</wp:posOffset>
            </wp:positionV>
            <wp:extent cx="819785" cy="1097280"/>
            <wp:effectExtent l="0" t="0" r="0" b="7620"/>
            <wp:wrapTight wrapText="bothSides">
              <wp:wrapPolygon edited="0">
                <wp:start x="0" y="0"/>
                <wp:lineTo x="0" y="21375"/>
                <wp:lineTo x="21081" y="21375"/>
                <wp:lineTo x="21081" y="0"/>
                <wp:lineTo x="0" y="0"/>
              </wp:wrapPolygon>
            </wp:wrapTight>
            <wp:docPr id="27" name="Picture 27" descr="Oxford City Council | Til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ford City Council | Tile Hi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978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677"/>
      </w:tblGrid>
      <w:tr w:rsidR="00027556" w:rsidRPr="006437CD" w14:paraId="0F83DB22" w14:textId="77777777" w:rsidTr="00027556">
        <w:trPr>
          <w:cantSplit/>
          <w:trHeight w:val="334"/>
          <w:tblHeader/>
        </w:trPr>
        <w:tc>
          <w:tcPr>
            <w:tcW w:w="3261" w:type="dxa"/>
            <w:shd w:val="clear" w:color="auto" w:fill="auto"/>
          </w:tcPr>
          <w:p w14:paraId="42C7930F"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Procurement title:</w:t>
            </w:r>
          </w:p>
        </w:tc>
        <w:tc>
          <w:tcPr>
            <w:tcW w:w="4677" w:type="dxa"/>
            <w:shd w:val="clear" w:color="auto" w:fill="auto"/>
          </w:tcPr>
          <w:p w14:paraId="7D6189E0" w14:textId="77777777" w:rsidR="00027556" w:rsidRPr="006437CD" w:rsidRDefault="00027556" w:rsidP="00027556">
            <w:pPr>
              <w:ind w:right="176"/>
              <w:jc w:val="both"/>
              <w:rPr>
                <w:rFonts w:ascii="Calibri" w:hAnsi="Calibri" w:cs="Calibri"/>
              </w:rPr>
            </w:pPr>
          </w:p>
          <w:p w14:paraId="21F35801" w14:textId="77777777" w:rsidR="00027556" w:rsidRPr="006437CD" w:rsidRDefault="00027556" w:rsidP="00027556">
            <w:pPr>
              <w:ind w:right="-250"/>
              <w:jc w:val="both"/>
              <w:rPr>
                <w:rFonts w:ascii="Calibri" w:hAnsi="Calibri" w:cs="Calibri"/>
              </w:rPr>
            </w:pPr>
          </w:p>
        </w:tc>
      </w:tr>
      <w:tr w:rsidR="00027556" w:rsidRPr="006437CD" w14:paraId="40DC25F1" w14:textId="77777777" w:rsidTr="00027556">
        <w:trPr>
          <w:cantSplit/>
          <w:trHeight w:val="333"/>
          <w:tblHeader/>
        </w:trPr>
        <w:tc>
          <w:tcPr>
            <w:tcW w:w="3261" w:type="dxa"/>
            <w:shd w:val="clear" w:color="auto" w:fill="auto"/>
          </w:tcPr>
          <w:p w14:paraId="507A66BD"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Lead officer:</w:t>
            </w:r>
          </w:p>
        </w:tc>
        <w:tc>
          <w:tcPr>
            <w:tcW w:w="4677" w:type="dxa"/>
            <w:shd w:val="clear" w:color="auto" w:fill="auto"/>
          </w:tcPr>
          <w:p w14:paraId="02C45421" w14:textId="77777777" w:rsidR="00027556" w:rsidRPr="006437CD" w:rsidRDefault="00027556" w:rsidP="00027556">
            <w:pPr>
              <w:jc w:val="both"/>
              <w:rPr>
                <w:rFonts w:ascii="Calibri" w:hAnsi="Calibri" w:cs="Calibri"/>
              </w:rPr>
            </w:pPr>
          </w:p>
        </w:tc>
      </w:tr>
      <w:tr w:rsidR="00027556" w:rsidRPr="006437CD" w14:paraId="4463C1B1" w14:textId="77777777" w:rsidTr="00027556">
        <w:trPr>
          <w:cantSplit/>
          <w:trHeight w:val="333"/>
          <w:tblHeader/>
        </w:trPr>
        <w:tc>
          <w:tcPr>
            <w:tcW w:w="3261" w:type="dxa"/>
            <w:shd w:val="clear" w:color="auto" w:fill="auto"/>
          </w:tcPr>
          <w:p w14:paraId="58A871FB"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Date checklist completed:</w:t>
            </w:r>
          </w:p>
        </w:tc>
        <w:tc>
          <w:tcPr>
            <w:tcW w:w="4677" w:type="dxa"/>
            <w:shd w:val="clear" w:color="auto" w:fill="auto"/>
          </w:tcPr>
          <w:p w14:paraId="51299C73" w14:textId="77777777" w:rsidR="00027556" w:rsidRPr="006437CD" w:rsidRDefault="00027556" w:rsidP="00027556">
            <w:pPr>
              <w:jc w:val="both"/>
              <w:rPr>
                <w:rFonts w:ascii="Calibri" w:hAnsi="Calibri" w:cs="Calibri"/>
              </w:rPr>
            </w:pPr>
          </w:p>
        </w:tc>
      </w:tr>
    </w:tbl>
    <w:p w14:paraId="420A7BF1" w14:textId="77777777" w:rsidR="00027556" w:rsidRPr="006437CD" w:rsidRDefault="00027556" w:rsidP="00027556">
      <w:pPr>
        <w:jc w:val="both"/>
        <w:rPr>
          <w:rFonts w:ascii="Calibri" w:hAnsi="Calibri" w:cs="Calibr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47"/>
        <w:gridCol w:w="591"/>
        <w:gridCol w:w="23"/>
        <w:gridCol w:w="615"/>
        <w:gridCol w:w="3402"/>
      </w:tblGrid>
      <w:tr w:rsidR="00027556" w:rsidRPr="006437CD" w14:paraId="26F15E3D" w14:textId="77777777" w:rsidTr="00027556">
        <w:trPr>
          <w:cantSplit/>
          <w:trHeight w:val="304"/>
          <w:tblHeader/>
        </w:trPr>
        <w:tc>
          <w:tcPr>
            <w:tcW w:w="4253" w:type="dxa"/>
            <w:shd w:val="clear" w:color="auto" w:fill="auto"/>
          </w:tcPr>
          <w:p w14:paraId="2741A1D2" w14:textId="77777777" w:rsidR="00027556" w:rsidRPr="006437CD" w:rsidRDefault="00027556" w:rsidP="00027556">
            <w:pPr>
              <w:jc w:val="both"/>
              <w:rPr>
                <w:rStyle w:val="Bold"/>
                <w:rFonts w:ascii="Calibri" w:hAnsi="Calibri" w:cs="Calibri"/>
                <w:sz w:val="20"/>
              </w:rPr>
            </w:pPr>
          </w:p>
        </w:tc>
        <w:tc>
          <w:tcPr>
            <w:tcW w:w="614" w:type="dxa"/>
            <w:gridSpan w:val="2"/>
            <w:tcBorders>
              <w:bottom w:val="single" w:sz="4" w:space="0" w:color="auto"/>
            </w:tcBorders>
          </w:tcPr>
          <w:p w14:paraId="1BE9C3E4"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Y</w:t>
            </w:r>
          </w:p>
        </w:tc>
        <w:tc>
          <w:tcPr>
            <w:tcW w:w="614" w:type="dxa"/>
            <w:gridSpan w:val="2"/>
            <w:tcBorders>
              <w:bottom w:val="single" w:sz="4" w:space="0" w:color="auto"/>
            </w:tcBorders>
          </w:tcPr>
          <w:p w14:paraId="720CCA0E"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N</w:t>
            </w:r>
          </w:p>
        </w:tc>
        <w:tc>
          <w:tcPr>
            <w:tcW w:w="615" w:type="dxa"/>
            <w:tcBorders>
              <w:bottom w:val="single" w:sz="4" w:space="0" w:color="auto"/>
            </w:tcBorders>
          </w:tcPr>
          <w:p w14:paraId="6FB07F2F"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N/A</w:t>
            </w:r>
          </w:p>
        </w:tc>
        <w:tc>
          <w:tcPr>
            <w:tcW w:w="3402" w:type="dxa"/>
          </w:tcPr>
          <w:p w14:paraId="610C10E7"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Response</w:t>
            </w:r>
          </w:p>
        </w:tc>
      </w:tr>
      <w:tr w:rsidR="00027556" w:rsidRPr="006437CD" w14:paraId="19823565" w14:textId="77777777" w:rsidTr="00027556">
        <w:trPr>
          <w:cantSplit/>
          <w:trHeight w:val="392"/>
        </w:trPr>
        <w:tc>
          <w:tcPr>
            <w:tcW w:w="9498" w:type="dxa"/>
            <w:gridSpan w:val="7"/>
            <w:shd w:val="clear" w:color="auto" w:fill="90A1CF" w:themeFill="accent1" w:themeFillTint="99"/>
          </w:tcPr>
          <w:p w14:paraId="14B9085B" w14:textId="77777777" w:rsidR="00027556" w:rsidRPr="006437CD" w:rsidRDefault="00027556" w:rsidP="00027556">
            <w:pPr>
              <w:ind w:left="34"/>
              <w:jc w:val="both"/>
              <w:rPr>
                <w:rStyle w:val="Bold"/>
                <w:rFonts w:ascii="Calibri" w:hAnsi="Calibri" w:cs="Calibri"/>
                <w:sz w:val="20"/>
              </w:rPr>
            </w:pPr>
            <w:r w:rsidRPr="006437CD">
              <w:rPr>
                <w:rStyle w:val="Bold"/>
                <w:rFonts w:ascii="Calibri" w:hAnsi="Calibri" w:cs="Calibri"/>
                <w:sz w:val="20"/>
              </w:rPr>
              <w:t>Step 1. Identifying Needs</w:t>
            </w:r>
          </w:p>
        </w:tc>
      </w:tr>
      <w:tr w:rsidR="00027556" w:rsidRPr="006437CD" w14:paraId="7DA6C0A6" w14:textId="77777777" w:rsidTr="00027556">
        <w:trPr>
          <w:cantSplit/>
          <w:trHeight w:val="705"/>
        </w:trPr>
        <w:tc>
          <w:tcPr>
            <w:tcW w:w="4253" w:type="dxa"/>
          </w:tcPr>
          <w:p w14:paraId="33472F38" w14:textId="77777777" w:rsidR="00027556" w:rsidRPr="006437CD" w:rsidRDefault="00027556" w:rsidP="00027556">
            <w:pPr>
              <w:jc w:val="both"/>
              <w:rPr>
                <w:rFonts w:ascii="Calibri" w:hAnsi="Calibri" w:cs="Calibri"/>
              </w:rPr>
            </w:pPr>
            <w:r w:rsidRPr="006437CD">
              <w:rPr>
                <w:rFonts w:ascii="Calibri" w:hAnsi="Calibri" w:cs="Calibri"/>
              </w:rPr>
              <w:t xml:space="preserve">1.1 Have you challenged the need for the procurement? </w:t>
            </w:r>
          </w:p>
        </w:tc>
        <w:tc>
          <w:tcPr>
            <w:tcW w:w="614" w:type="dxa"/>
            <w:gridSpan w:val="2"/>
            <w:shd w:val="clear" w:color="auto" w:fill="auto"/>
          </w:tcPr>
          <w:p w14:paraId="4CEB54C7" w14:textId="77777777" w:rsidR="00027556" w:rsidRPr="006437CD" w:rsidRDefault="00027556" w:rsidP="00027556">
            <w:pPr>
              <w:jc w:val="both"/>
              <w:rPr>
                <w:rFonts w:ascii="Calibri" w:hAnsi="Calibri" w:cs="Calibri"/>
              </w:rPr>
            </w:pPr>
          </w:p>
        </w:tc>
        <w:tc>
          <w:tcPr>
            <w:tcW w:w="614" w:type="dxa"/>
            <w:gridSpan w:val="2"/>
          </w:tcPr>
          <w:p w14:paraId="7B204389" w14:textId="77777777" w:rsidR="00027556" w:rsidRPr="006437CD" w:rsidRDefault="00027556" w:rsidP="00027556">
            <w:pPr>
              <w:jc w:val="both"/>
              <w:rPr>
                <w:rFonts w:ascii="Calibri" w:hAnsi="Calibri" w:cs="Calibri"/>
              </w:rPr>
            </w:pPr>
          </w:p>
        </w:tc>
        <w:tc>
          <w:tcPr>
            <w:tcW w:w="615" w:type="dxa"/>
            <w:shd w:val="clear" w:color="auto" w:fill="auto"/>
          </w:tcPr>
          <w:p w14:paraId="1FCBD888" w14:textId="77777777" w:rsidR="00027556" w:rsidRPr="006437CD" w:rsidRDefault="00027556" w:rsidP="00027556">
            <w:pPr>
              <w:jc w:val="both"/>
              <w:rPr>
                <w:rFonts w:ascii="Calibri" w:hAnsi="Calibri" w:cs="Calibri"/>
              </w:rPr>
            </w:pPr>
          </w:p>
        </w:tc>
        <w:tc>
          <w:tcPr>
            <w:tcW w:w="3402" w:type="dxa"/>
          </w:tcPr>
          <w:p w14:paraId="6A3E9353" w14:textId="77777777" w:rsidR="00027556" w:rsidRPr="006437CD" w:rsidRDefault="00027556" w:rsidP="00027556">
            <w:pPr>
              <w:jc w:val="both"/>
              <w:rPr>
                <w:rFonts w:ascii="Calibri" w:hAnsi="Calibri" w:cs="Calibri"/>
              </w:rPr>
            </w:pPr>
          </w:p>
        </w:tc>
      </w:tr>
      <w:tr w:rsidR="00027556" w:rsidRPr="006437CD" w14:paraId="5EAD36B9" w14:textId="77777777" w:rsidTr="00027556">
        <w:trPr>
          <w:cantSplit/>
          <w:trHeight w:val="705"/>
        </w:trPr>
        <w:tc>
          <w:tcPr>
            <w:tcW w:w="4253" w:type="dxa"/>
          </w:tcPr>
          <w:p w14:paraId="013996EC" w14:textId="77777777" w:rsidR="00027556" w:rsidRPr="006437CD" w:rsidRDefault="00027556" w:rsidP="00027556">
            <w:pPr>
              <w:jc w:val="both"/>
              <w:rPr>
                <w:rFonts w:ascii="Calibri" w:hAnsi="Calibri" w:cs="Calibri"/>
              </w:rPr>
            </w:pPr>
            <w:r w:rsidRPr="006437CD">
              <w:rPr>
                <w:rFonts w:ascii="Calibri" w:hAnsi="Calibri" w:cs="Calibri"/>
              </w:rPr>
              <w:t>1.2 Have the quantities been reviewed and checked for accuracy?</w:t>
            </w:r>
          </w:p>
        </w:tc>
        <w:tc>
          <w:tcPr>
            <w:tcW w:w="614" w:type="dxa"/>
            <w:gridSpan w:val="2"/>
            <w:shd w:val="clear" w:color="auto" w:fill="auto"/>
          </w:tcPr>
          <w:p w14:paraId="195F7D88" w14:textId="77777777" w:rsidR="00027556" w:rsidRPr="006437CD" w:rsidRDefault="00027556" w:rsidP="00027556">
            <w:pPr>
              <w:jc w:val="both"/>
              <w:rPr>
                <w:rFonts w:ascii="Calibri" w:hAnsi="Calibri" w:cs="Calibri"/>
              </w:rPr>
            </w:pPr>
          </w:p>
        </w:tc>
        <w:tc>
          <w:tcPr>
            <w:tcW w:w="614" w:type="dxa"/>
            <w:gridSpan w:val="2"/>
          </w:tcPr>
          <w:p w14:paraId="7F5F7ACF" w14:textId="77777777" w:rsidR="00027556" w:rsidRPr="006437CD" w:rsidRDefault="00027556" w:rsidP="00027556">
            <w:pPr>
              <w:jc w:val="both"/>
              <w:rPr>
                <w:rFonts w:ascii="Calibri" w:hAnsi="Calibri" w:cs="Calibri"/>
              </w:rPr>
            </w:pPr>
          </w:p>
        </w:tc>
        <w:tc>
          <w:tcPr>
            <w:tcW w:w="615" w:type="dxa"/>
            <w:shd w:val="clear" w:color="auto" w:fill="auto"/>
          </w:tcPr>
          <w:p w14:paraId="0CF74995" w14:textId="77777777" w:rsidR="00027556" w:rsidRPr="006437CD" w:rsidRDefault="00027556" w:rsidP="00027556">
            <w:pPr>
              <w:jc w:val="both"/>
              <w:rPr>
                <w:rFonts w:ascii="Calibri" w:hAnsi="Calibri" w:cs="Calibri"/>
              </w:rPr>
            </w:pPr>
          </w:p>
        </w:tc>
        <w:tc>
          <w:tcPr>
            <w:tcW w:w="3402" w:type="dxa"/>
          </w:tcPr>
          <w:p w14:paraId="05CE8411" w14:textId="77777777" w:rsidR="00027556" w:rsidRPr="006437CD" w:rsidRDefault="00027556" w:rsidP="00027556">
            <w:pPr>
              <w:jc w:val="both"/>
              <w:rPr>
                <w:rFonts w:ascii="Calibri" w:hAnsi="Calibri" w:cs="Calibri"/>
              </w:rPr>
            </w:pPr>
          </w:p>
        </w:tc>
      </w:tr>
      <w:tr w:rsidR="00027556" w:rsidRPr="006437CD" w14:paraId="7F74581C" w14:textId="77777777" w:rsidTr="00027556">
        <w:trPr>
          <w:cantSplit/>
          <w:trHeight w:val="705"/>
        </w:trPr>
        <w:tc>
          <w:tcPr>
            <w:tcW w:w="4253" w:type="dxa"/>
          </w:tcPr>
          <w:p w14:paraId="36193A0A" w14:textId="77777777" w:rsidR="00027556" w:rsidRPr="006437CD" w:rsidRDefault="00027556" w:rsidP="00027556">
            <w:pPr>
              <w:jc w:val="both"/>
              <w:rPr>
                <w:rFonts w:ascii="Calibri" w:hAnsi="Calibri" w:cs="Calibri"/>
              </w:rPr>
            </w:pPr>
            <w:r w:rsidRPr="006437CD">
              <w:rPr>
                <w:rFonts w:ascii="Calibri" w:hAnsi="Calibri" w:cs="Calibri"/>
              </w:rPr>
              <w:t xml:space="preserve">1.3 Is Cabinet Approval required? </w:t>
            </w:r>
          </w:p>
          <w:p w14:paraId="00D45B84" w14:textId="77777777" w:rsidR="00027556" w:rsidRPr="006437CD" w:rsidRDefault="00027556" w:rsidP="00027556">
            <w:pPr>
              <w:jc w:val="both"/>
              <w:rPr>
                <w:rFonts w:ascii="Calibri" w:hAnsi="Calibri" w:cs="Calibri"/>
                <w:i/>
              </w:rPr>
            </w:pPr>
            <w:r w:rsidRPr="006437CD">
              <w:rPr>
                <w:rFonts w:ascii="Calibri" w:hAnsi="Calibri" w:cs="Calibri"/>
                <w:i/>
              </w:rPr>
              <w:t>If yes please refer to the Carbon and Environmental Considerations in Cabinet Reports on page 6.</w:t>
            </w:r>
          </w:p>
        </w:tc>
        <w:tc>
          <w:tcPr>
            <w:tcW w:w="614" w:type="dxa"/>
            <w:gridSpan w:val="2"/>
            <w:shd w:val="clear" w:color="auto" w:fill="auto"/>
          </w:tcPr>
          <w:p w14:paraId="6DC78E2C" w14:textId="77777777" w:rsidR="00027556" w:rsidRPr="006437CD" w:rsidRDefault="00027556" w:rsidP="00027556">
            <w:pPr>
              <w:jc w:val="both"/>
              <w:rPr>
                <w:rFonts w:ascii="Calibri" w:hAnsi="Calibri" w:cs="Calibri"/>
              </w:rPr>
            </w:pPr>
          </w:p>
        </w:tc>
        <w:tc>
          <w:tcPr>
            <w:tcW w:w="614" w:type="dxa"/>
            <w:gridSpan w:val="2"/>
          </w:tcPr>
          <w:p w14:paraId="1BA6292C" w14:textId="77777777" w:rsidR="00027556" w:rsidRPr="006437CD" w:rsidRDefault="00027556" w:rsidP="00027556">
            <w:pPr>
              <w:jc w:val="both"/>
              <w:rPr>
                <w:rFonts w:ascii="Calibri" w:hAnsi="Calibri" w:cs="Calibri"/>
              </w:rPr>
            </w:pPr>
          </w:p>
        </w:tc>
        <w:tc>
          <w:tcPr>
            <w:tcW w:w="615" w:type="dxa"/>
            <w:shd w:val="clear" w:color="auto" w:fill="auto"/>
          </w:tcPr>
          <w:p w14:paraId="50862D50" w14:textId="77777777" w:rsidR="00027556" w:rsidRPr="006437CD" w:rsidRDefault="00027556" w:rsidP="00027556">
            <w:pPr>
              <w:jc w:val="both"/>
              <w:rPr>
                <w:rFonts w:ascii="Calibri" w:hAnsi="Calibri" w:cs="Calibri"/>
              </w:rPr>
            </w:pPr>
          </w:p>
        </w:tc>
        <w:tc>
          <w:tcPr>
            <w:tcW w:w="3402" w:type="dxa"/>
          </w:tcPr>
          <w:p w14:paraId="468535F8" w14:textId="77777777" w:rsidR="00027556" w:rsidRPr="006437CD" w:rsidRDefault="00027556" w:rsidP="00027556">
            <w:pPr>
              <w:jc w:val="both"/>
              <w:rPr>
                <w:rFonts w:ascii="Calibri" w:hAnsi="Calibri" w:cs="Calibri"/>
              </w:rPr>
            </w:pPr>
          </w:p>
        </w:tc>
      </w:tr>
      <w:tr w:rsidR="00027556" w:rsidRPr="006437CD" w14:paraId="1EBE03B0" w14:textId="77777777" w:rsidTr="00027556">
        <w:trPr>
          <w:cantSplit/>
          <w:trHeight w:val="421"/>
        </w:trPr>
        <w:tc>
          <w:tcPr>
            <w:tcW w:w="9498" w:type="dxa"/>
            <w:gridSpan w:val="7"/>
            <w:tcBorders>
              <w:bottom w:val="single" w:sz="4" w:space="0" w:color="auto"/>
            </w:tcBorders>
            <w:shd w:val="clear" w:color="auto" w:fill="90A1CF" w:themeFill="accent1" w:themeFillTint="99"/>
          </w:tcPr>
          <w:p w14:paraId="2D653564"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Step 2. Developing the Business Case</w:t>
            </w:r>
          </w:p>
        </w:tc>
      </w:tr>
      <w:tr w:rsidR="00027556" w:rsidRPr="006437CD" w14:paraId="474FEE04" w14:textId="77777777" w:rsidTr="00027556">
        <w:trPr>
          <w:cantSplit/>
          <w:trHeight w:val="345"/>
        </w:trPr>
        <w:tc>
          <w:tcPr>
            <w:tcW w:w="4253" w:type="dxa"/>
            <w:tcBorders>
              <w:bottom w:val="single" w:sz="4" w:space="0" w:color="auto"/>
            </w:tcBorders>
          </w:tcPr>
          <w:p w14:paraId="7AA03FEA" w14:textId="77777777" w:rsidR="00027556" w:rsidRPr="006437CD" w:rsidRDefault="00027556" w:rsidP="00027556">
            <w:pPr>
              <w:jc w:val="both"/>
              <w:rPr>
                <w:rFonts w:ascii="Calibri" w:hAnsi="Calibri" w:cs="Calibri"/>
                <w:i/>
              </w:rPr>
            </w:pPr>
            <w:r w:rsidRPr="006437CD">
              <w:rPr>
                <w:rFonts w:ascii="Calibri" w:hAnsi="Calibri" w:cs="Calibri"/>
              </w:rPr>
              <w:t xml:space="preserve">2.1 Will this procurement bring us closer to or further away from our commitment to becoming a Net Zero carbon council by 2030 and Net Zero carbon city by 2040? </w:t>
            </w:r>
            <w:r w:rsidRPr="006437CD">
              <w:rPr>
                <w:rFonts w:ascii="Calibri" w:hAnsi="Calibri" w:cs="Calibri"/>
                <w:i/>
              </w:rPr>
              <w:t xml:space="preserve">For example, does it increase or decrease: </w:t>
            </w:r>
          </w:p>
          <w:p w14:paraId="70C0F10F" w14:textId="77777777" w:rsidR="00027556" w:rsidRPr="006437CD" w:rsidRDefault="00233EB0" w:rsidP="00027556">
            <w:pPr>
              <w:pStyle w:val="ListParagraph"/>
              <w:numPr>
                <w:ilvl w:val="0"/>
                <w:numId w:val="7"/>
              </w:numPr>
              <w:spacing w:after="160" w:line="259" w:lineRule="auto"/>
              <w:jc w:val="both"/>
              <w:rPr>
                <w:rFonts w:ascii="Calibri" w:hAnsi="Calibri" w:cs="Calibri"/>
                <w:i/>
                <w:sz w:val="20"/>
                <w:szCs w:val="20"/>
              </w:rPr>
            </w:pPr>
            <w:hyperlink w:anchor="_Energy_use" w:history="1">
              <w:r w:rsidR="00027556" w:rsidRPr="006437CD">
                <w:rPr>
                  <w:rStyle w:val="Hyperlink"/>
                  <w:rFonts w:ascii="Calibri" w:hAnsi="Calibri" w:cs="Calibri"/>
                  <w:i/>
                  <w:sz w:val="20"/>
                  <w:szCs w:val="20"/>
                </w:rPr>
                <w:t>Energy use</w:t>
              </w:r>
            </w:hyperlink>
            <w:r w:rsidR="00027556" w:rsidRPr="006437CD">
              <w:rPr>
                <w:rFonts w:ascii="Calibri" w:hAnsi="Calibri" w:cs="Calibri"/>
                <w:i/>
                <w:sz w:val="20"/>
                <w:szCs w:val="20"/>
              </w:rPr>
              <w:t>?</w:t>
            </w:r>
          </w:p>
          <w:p w14:paraId="34ECD2CC" w14:textId="77777777" w:rsidR="00027556" w:rsidRPr="006437CD" w:rsidRDefault="00233EB0" w:rsidP="00027556">
            <w:pPr>
              <w:pStyle w:val="ListParagraph"/>
              <w:numPr>
                <w:ilvl w:val="0"/>
                <w:numId w:val="7"/>
              </w:numPr>
              <w:spacing w:after="160" w:line="259" w:lineRule="auto"/>
              <w:jc w:val="both"/>
              <w:rPr>
                <w:rFonts w:ascii="Calibri" w:hAnsi="Calibri" w:cs="Calibri"/>
                <w:i/>
                <w:sz w:val="20"/>
                <w:szCs w:val="20"/>
              </w:rPr>
            </w:pPr>
            <w:hyperlink w:anchor="_Transport_and_air" w:history="1">
              <w:r w:rsidR="00027556" w:rsidRPr="006437CD">
                <w:rPr>
                  <w:rStyle w:val="Hyperlink"/>
                  <w:rFonts w:ascii="Calibri" w:hAnsi="Calibri" w:cs="Calibri"/>
                  <w:i/>
                  <w:sz w:val="20"/>
                  <w:szCs w:val="20"/>
                </w:rPr>
                <w:t>Transport movements</w:t>
              </w:r>
            </w:hyperlink>
            <w:r w:rsidR="00027556" w:rsidRPr="006437CD">
              <w:rPr>
                <w:rFonts w:ascii="Calibri" w:hAnsi="Calibri" w:cs="Calibri"/>
                <w:i/>
                <w:sz w:val="20"/>
                <w:szCs w:val="20"/>
              </w:rPr>
              <w:t xml:space="preserve">? </w:t>
            </w:r>
          </w:p>
          <w:p w14:paraId="7C5FA9CF" w14:textId="77777777" w:rsidR="00027556" w:rsidRPr="006437CD" w:rsidRDefault="00233EB0" w:rsidP="00027556">
            <w:pPr>
              <w:pStyle w:val="ListParagraph"/>
              <w:numPr>
                <w:ilvl w:val="0"/>
                <w:numId w:val="7"/>
              </w:numPr>
              <w:spacing w:after="160" w:line="259" w:lineRule="auto"/>
              <w:jc w:val="both"/>
              <w:rPr>
                <w:rFonts w:ascii="Calibri" w:hAnsi="Calibri" w:cs="Calibri"/>
                <w:i/>
                <w:sz w:val="20"/>
                <w:szCs w:val="20"/>
              </w:rPr>
            </w:pPr>
            <w:hyperlink w:anchor="_Waste_management" w:history="1">
              <w:r w:rsidR="00027556" w:rsidRPr="006437CD">
                <w:rPr>
                  <w:rStyle w:val="Hyperlink"/>
                  <w:rFonts w:ascii="Calibri" w:hAnsi="Calibri" w:cs="Calibri"/>
                  <w:i/>
                  <w:sz w:val="20"/>
                  <w:szCs w:val="20"/>
                </w:rPr>
                <w:t>Waste generation</w:t>
              </w:r>
            </w:hyperlink>
            <w:r w:rsidR="00027556" w:rsidRPr="006437CD">
              <w:rPr>
                <w:rFonts w:ascii="Calibri" w:hAnsi="Calibri" w:cs="Calibri"/>
                <w:i/>
                <w:sz w:val="20"/>
                <w:szCs w:val="20"/>
              </w:rPr>
              <w:t>?</w:t>
            </w:r>
          </w:p>
        </w:tc>
        <w:tc>
          <w:tcPr>
            <w:tcW w:w="614" w:type="dxa"/>
            <w:gridSpan w:val="2"/>
            <w:tcBorders>
              <w:bottom w:val="single" w:sz="4" w:space="0" w:color="auto"/>
            </w:tcBorders>
            <w:shd w:val="clear" w:color="auto" w:fill="auto"/>
          </w:tcPr>
          <w:p w14:paraId="7D0251E6" w14:textId="77777777" w:rsidR="00027556" w:rsidRPr="006437CD" w:rsidRDefault="00027556" w:rsidP="00027556">
            <w:pPr>
              <w:jc w:val="both"/>
              <w:rPr>
                <w:rFonts w:ascii="Calibri" w:hAnsi="Calibri" w:cs="Calibri"/>
              </w:rPr>
            </w:pPr>
          </w:p>
        </w:tc>
        <w:tc>
          <w:tcPr>
            <w:tcW w:w="614" w:type="dxa"/>
            <w:gridSpan w:val="2"/>
            <w:tcBorders>
              <w:bottom w:val="single" w:sz="4" w:space="0" w:color="auto"/>
            </w:tcBorders>
          </w:tcPr>
          <w:p w14:paraId="5D0CCD61" w14:textId="77777777" w:rsidR="00027556" w:rsidRPr="006437CD" w:rsidRDefault="00027556" w:rsidP="00027556">
            <w:pPr>
              <w:jc w:val="both"/>
              <w:rPr>
                <w:rFonts w:ascii="Calibri" w:hAnsi="Calibri" w:cs="Calibri"/>
              </w:rPr>
            </w:pPr>
          </w:p>
        </w:tc>
        <w:tc>
          <w:tcPr>
            <w:tcW w:w="615" w:type="dxa"/>
            <w:tcBorders>
              <w:bottom w:val="single" w:sz="4" w:space="0" w:color="auto"/>
            </w:tcBorders>
            <w:shd w:val="clear" w:color="auto" w:fill="auto"/>
          </w:tcPr>
          <w:p w14:paraId="4F2FE093" w14:textId="77777777" w:rsidR="00027556" w:rsidRPr="006437CD" w:rsidRDefault="00027556" w:rsidP="00027556">
            <w:pPr>
              <w:jc w:val="both"/>
              <w:rPr>
                <w:rFonts w:ascii="Calibri" w:hAnsi="Calibri" w:cs="Calibri"/>
              </w:rPr>
            </w:pPr>
          </w:p>
        </w:tc>
        <w:tc>
          <w:tcPr>
            <w:tcW w:w="3402" w:type="dxa"/>
            <w:tcBorders>
              <w:bottom w:val="single" w:sz="4" w:space="0" w:color="auto"/>
            </w:tcBorders>
          </w:tcPr>
          <w:p w14:paraId="7AC7352D" w14:textId="77777777" w:rsidR="00027556" w:rsidRPr="006437CD" w:rsidRDefault="00027556" w:rsidP="00027556">
            <w:pPr>
              <w:jc w:val="both"/>
              <w:rPr>
                <w:rFonts w:ascii="Calibri" w:hAnsi="Calibri" w:cs="Calibri"/>
              </w:rPr>
            </w:pPr>
            <w:r w:rsidRPr="006437CD">
              <w:rPr>
                <w:rFonts w:ascii="Calibri" w:hAnsi="Calibri" w:cs="Calibri"/>
              </w:rPr>
              <w:t>Include response on a) energy use b) transport movements and c) waste generation.</w:t>
            </w:r>
          </w:p>
        </w:tc>
      </w:tr>
      <w:tr w:rsidR="00027556" w:rsidRPr="006437CD" w14:paraId="3C558340" w14:textId="77777777" w:rsidTr="00027556">
        <w:trPr>
          <w:cantSplit/>
          <w:trHeight w:val="345"/>
        </w:trPr>
        <w:tc>
          <w:tcPr>
            <w:tcW w:w="4253" w:type="dxa"/>
            <w:tcBorders>
              <w:bottom w:val="single" w:sz="4" w:space="0" w:color="auto"/>
            </w:tcBorders>
          </w:tcPr>
          <w:p w14:paraId="606AF43B" w14:textId="77777777" w:rsidR="00027556" w:rsidRPr="006437CD" w:rsidRDefault="00027556" w:rsidP="00027556">
            <w:pPr>
              <w:jc w:val="both"/>
              <w:rPr>
                <w:rFonts w:ascii="Calibri" w:hAnsi="Calibri" w:cs="Calibri"/>
              </w:rPr>
            </w:pPr>
            <w:r w:rsidRPr="006437CD">
              <w:rPr>
                <w:rFonts w:ascii="Calibri" w:hAnsi="Calibri" w:cs="Calibri"/>
              </w:rPr>
              <w:t xml:space="preserve">2.2 Will this procurement improve environmental quality or reduce it? </w:t>
            </w:r>
            <w:r w:rsidRPr="006437CD">
              <w:rPr>
                <w:rFonts w:ascii="Calibri" w:hAnsi="Calibri" w:cs="Calibri"/>
                <w:i/>
              </w:rPr>
              <w:t>For example</w:t>
            </w:r>
            <w:r w:rsidRPr="006437CD">
              <w:rPr>
                <w:rFonts w:ascii="Calibri" w:hAnsi="Calibri" w:cs="Calibri"/>
              </w:rPr>
              <w:t xml:space="preserve">: </w:t>
            </w:r>
          </w:p>
          <w:p w14:paraId="0228610A" w14:textId="77777777" w:rsidR="00027556" w:rsidRPr="006437CD" w:rsidRDefault="00027556" w:rsidP="00027556">
            <w:pPr>
              <w:pStyle w:val="ListParagraph"/>
              <w:numPr>
                <w:ilvl w:val="0"/>
                <w:numId w:val="8"/>
              </w:numPr>
              <w:spacing w:after="160" w:line="259" w:lineRule="auto"/>
              <w:jc w:val="both"/>
              <w:rPr>
                <w:rFonts w:ascii="Calibri" w:hAnsi="Calibri" w:cs="Calibri"/>
                <w:sz w:val="20"/>
                <w:szCs w:val="20"/>
              </w:rPr>
            </w:pPr>
            <w:r w:rsidRPr="006437CD">
              <w:rPr>
                <w:rFonts w:ascii="Calibri" w:hAnsi="Calibri" w:cs="Calibri"/>
                <w:i/>
                <w:sz w:val="20"/>
                <w:szCs w:val="20"/>
              </w:rPr>
              <w:t xml:space="preserve">Will it Improve </w:t>
            </w:r>
            <w:hyperlink w:anchor="_Transport_and_air" w:history="1">
              <w:r w:rsidRPr="006437CD">
                <w:rPr>
                  <w:rStyle w:val="Hyperlink"/>
                  <w:rFonts w:ascii="Calibri" w:hAnsi="Calibri" w:cs="Calibri"/>
                  <w:i/>
                  <w:sz w:val="20"/>
                  <w:szCs w:val="20"/>
                </w:rPr>
                <w:t>air quality</w:t>
              </w:r>
            </w:hyperlink>
            <w:r w:rsidRPr="006437CD">
              <w:rPr>
                <w:rFonts w:ascii="Calibri" w:hAnsi="Calibri" w:cs="Calibri"/>
                <w:i/>
                <w:sz w:val="20"/>
                <w:szCs w:val="20"/>
              </w:rPr>
              <w:t xml:space="preserve"> in Oxford? </w:t>
            </w:r>
          </w:p>
          <w:p w14:paraId="621F7BCC" w14:textId="77777777" w:rsidR="00027556" w:rsidRPr="006437CD" w:rsidRDefault="00027556" w:rsidP="00027556">
            <w:pPr>
              <w:pStyle w:val="ListParagraph"/>
              <w:numPr>
                <w:ilvl w:val="0"/>
                <w:numId w:val="8"/>
              </w:numPr>
              <w:spacing w:after="160" w:line="259" w:lineRule="auto"/>
              <w:jc w:val="both"/>
              <w:rPr>
                <w:rFonts w:ascii="Calibri" w:hAnsi="Calibri" w:cs="Calibri"/>
                <w:sz w:val="20"/>
                <w:szCs w:val="20"/>
              </w:rPr>
            </w:pPr>
            <w:r w:rsidRPr="006437CD">
              <w:rPr>
                <w:rFonts w:ascii="Calibri" w:hAnsi="Calibri" w:cs="Calibri"/>
                <w:i/>
                <w:sz w:val="20"/>
                <w:szCs w:val="20"/>
              </w:rPr>
              <w:t xml:space="preserve">Will </w:t>
            </w:r>
            <w:hyperlink w:anchor="_Biodiversity" w:history="1">
              <w:r w:rsidRPr="006437CD">
                <w:rPr>
                  <w:rStyle w:val="Hyperlink"/>
                  <w:rFonts w:ascii="Calibri" w:hAnsi="Calibri" w:cs="Calibri"/>
                  <w:i/>
                  <w:sz w:val="20"/>
                  <w:szCs w:val="20"/>
                </w:rPr>
                <w:t>biodiversity</w:t>
              </w:r>
            </w:hyperlink>
            <w:r w:rsidRPr="006437CD">
              <w:rPr>
                <w:rFonts w:ascii="Calibri" w:hAnsi="Calibri" w:cs="Calibri"/>
                <w:i/>
                <w:sz w:val="20"/>
                <w:szCs w:val="20"/>
              </w:rPr>
              <w:t xml:space="preserve"> or the natural environment be impacted/enhanced by this project?</w:t>
            </w:r>
          </w:p>
          <w:p w14:paraId="6CDD1FAB" w14:textId="77777777" w:rsidR="00027556" w:rsidRPr="006437CD" w:rsidRDefault="00027556" w:rsidP="00027556">
            <w:pPr>
              <w:jc w:val="both"/>
              <w:rPr>
                <w:rFonts w:ascii="Calibri" w:hAnsi="Calibri" w:cs="Calibri"/>
              </w:rPr>
            </w:pPr>
          </w:p>
        </w:tc>
        <w:tc>
          <w:tcPr>
            <w:tcW w:w="614" w:type="dxa"/>
            <w:gridSpan w:val="2"/>
            <w:tcBorders>
              <w:bottom w:val="single" w:sz="4" w:space="0" w:color="auto"/>
            </w:tcBorders>
            <w:shd w:val="clear" w:color="auto" w:fill="auto"/>
          </w:tcPr>
          <w:p w14:paraId="7A14DCCD" w14:textId="77777777" w:rsidR="00027556" w:rsidRPr="006437CD" w:rsidRDefault="00027556" w:rsidP="00027556">
            <w:pPr>
              <w:jc w:val="both"/>
              <w:rPr>
                <w:rFonts w:ascii="Calibri" w:hAnsi="Calibri" w:cs="Calibri"/>
              </w:rPr>
            </w:pPr>
          </w:p>
        </w:tc>
        <w:tc>
          <w:tcPr>
            <w:tcW w:w="614" w:type="dxa"/>
            <w:gridSpan w:val="2"/>
            <w:tcBorders>
              <w:bottom w:val="single" w:sz="4" w:space="0" w:color="auto"/>
            </w:tcBorders>
          </w:tcPr>
          <w:p w14:paraId="0D67A414" w14:textId="77777777" w:rsidR="00027556" w:rsidRPr="006437CD" w:rsidRDefault="00027556" w:rsidP="00027556">
            <w:pPr>
              <w:jc w:val="both"/>
              <w:rPr>
                <w:rFonts w:ascii="Calibri" w:hAnsi="Calibri" w:cs="Calibri"/>
              </w:rPr>
            </w:pPr>
          </w:p>
        </w:tc>
        <w:tc>
          <w:tcPr>
            <w:tcW w:w="615" w:type="dxa"/>
            <w:tcBorders>
              <w:bottom w:val="single" w:sz="4" w:space="0" w:color="auto"/>
            </w:tcBorders>
            <w:shd w:val="clear" w:color="auto" w:fill="auto"/>
          </w:tcPr>
          <w:p w14:paraId="5C0E53A1" w14:textId="77777777" w:rsidR="00027556" w:rsidRPr="006437CD" w:rsidRDefault="00027556" w:rsidP="00027556">
            <w:pPr>
              <w:jc w:val="both"/>
              <w:rPr>
                <w:rFonts w:ascii="Calibri" w:hAnsi="Calibri" w:cs="Calibri"/>
              </w:rPr>
            </w:pPr>
          </w:p>
        </w:tc>
        <w:tc>
          <w:tcPr>
            <w:tcW w:w="3402" w:type="dxa"/>
            <w:tcBorders>
              <w:bottom w:val="single" w:sz="4" w:space="0" w:color="auto"/>
            </w:tcBorders>
          </w:tcPr>
          <w:p w14:paraId="2CAB2274" w14:textId="77777777" w:rsidR="00027556" w:rsidRPr="006437CD" w:rsidRDefault="00027556" w:rsidP="00027556">
            <w:pPr>
              <w:jc w:val="both"/>
              <w:rPr>
                <w:rFonts w:ascii="Calibri" w:hAnsi="Calibri" w:cs="Calibri"/>
              </w:rPr>
            </w:pPr>
            <w:r w:rsidRPr="006437CD">
              <w:rPr>
                <w:rFonts w:ascii="Calibri" w:hAnsi="Calibri" w:cs="Calibri"/>
              </w:rPr>
              <w:t>Include response on a) air quality and b) biodiversity/ natural environment</w:t>
            </w:r>
          </w:p>
        </w:tc>
      </w:tr>
      <w:tr w:rsidR="00027556" w:rsidRPr="006437CD" w14:paraId="0F368CEA" w14:textId="77777777" w:rsidTr="00027556">
        <w:trPr>
          <w:cantSplit/>
          <w:trHeight w:val="345"/>
        </w:trPr>
        <w:tc>
          <w:tcPr>
            <w:tcW w:w="4253" w:type="dxa"/>
            <w:tcBorders>
              <w:bottom w:val="single" w:sz="4" w:space="0" w:color="auto"/>
            </w:tcBorders>
          </w:tcPr>
          <w:p w14:paraId="3798F030" w14:textId="77777777" w:rsidR="00027556" w:rsidRPr="006437CD" w:rsidRDefault="00027556" w:rsidP="00027556">
            <w:pPr>
              <w:jc w:val="both"/>
              <w:rPr>
                <w:rFonts w:ascii="Calibri" w:hAnsi="Calibri" w:cs="Calibri"/>
              </w:rPr>
            </w:pPr>
            <w:r w:rsidRPr="006437CD">
              <w:rPr>
                <w:rFonts w:ascii="Calibri" w:hAnsi="Calibri" w:cs="Calibri"/>
              </w:rPr>
              <w:t xml:space="preserve">2.3 Will this procurement help Oxford and its residents become more or less resilient to climate change? </w:t>
            </w:r>
            <w:r w:rsidRPr="006437CD">
              <w:rPr>
                <w:rFonts w:ascii="Calibri" w:hAnsi="Calibri" w:cs="Calibri"/>
                <w:i/>
              </w:rPr>
              <w:t xml:space="preserve">For example: </w:t>
            </w:r>
          </w:p>
          <w:p w14:paraId="01433549" w14:textId="77777777" w:rsidR="00027556" w:rsidRPr="006437CD" w:rsidRDefault="00027556" w:rsidP="00027556">
            <w:pPr>
              <w:pStyle w:val="ListParagraph"/>
              <w:numPr>
                <w:ilvl w:val="1"/>
                <w:numId w:val="9"/>
              </w:numPr>
              <w:spacing w:after="160" w:line="259" w:lineRule="auto"/>
              <w:jc w:val="both"/>
              <w:rPr>
                <w:rFonts w:ascii="Calibri" w:hAnsi="Calibri" w:cs="Calibri"/>
                <w:sz w:val="20"/>
                <w:szCs w:val="20"/>
              </w:rPr>
            </w:pPr>
            <w:r w:rsidRPr="006437CD">
              <w:rPr>
                <w:rFonts w:ascii="Calibri" w:hAnsi="Calibri" w:cs="Calibri"/>
                <w:i/>
                <w:sz w:val="20"/>
                <w:szCs w:val="20"/>
              </w:rPr>
              <w:t xml:space="preserve">Will it have an impact on </w:t>
            </w:r>
            <w:hyperlink w:anchor="_Adaptation_(flooding)" w:history="1">
              <w:r w:rsidRPr="006437CD">
                <w:rPr>
                  <w:rStyle w:val="Hyperlink"/>
                  <w:rFonts w:ascii="Calibri" w:hAnsi="Calibri" w:cs="Calibri"/>
                  <w:i/>
                  <w:sz w:val="20"/>
                  <w:szCs w:val="20"/>
                </w:rPr>
                <w:t>flooding</w:t>
              </w:r>
            </w:hyperlink>
            <w:r w:rsidRPr="006437CD">
              <w:rPr>
                <w:rFonts w:ascii="Calibri" w:hAnsi="Calibri" w:cs="Calibri"/>
                <w:i/>
                <w:sz w:val="20"/>
                <w:szCs w:val="20"/>
              </w:rPr>
              <w:t xml:space="preserve"> or communities impacted by flooding?</w:t>
            </w:r>
          </w:p>
          <w:p w14:paraId="0A5FEED1" w14:textId="77777777" w:rsidR="00027556" w:rsidRPr="006437CD" w:rsidRDefault="00027556" w:rsidP="00027556">
            <w:pPr>
              <w:jc w:val="both"/>
              <w:rPr>
                <w:rFonts w:ascii="Calibri" w:hAnsi="Calibri" w:cs="Calibri"/>
              </w:rPr>
            </w:pPr>
          </w:p>
        </w:tc>
        <w:tc>
          <w:tcPr>
            <w:tcW w:w="614" w:type="dxa"/>
            <w:gridSpan w:val="2"/>
            <w:tcBorders>
              <w:bottom w:val="single" w:sz="4" w:space="0" w:color="auto"/>
            </w:tcBorders>
            <w:shd w:val="clear" w:color="auto" w:fill="auto"/>
          </w:tcPr>
          <w:p w14:paraId="1D596B5F" w14:textId="77777777" w:rsidR="00027556" w:rsidRPr="006437CD" w:rsidRDefault="00027556" w:rsidP="00027556">
            <w:pPr>
              <w:jc w:val="both"/>
              <w:rPr>
                <w:rFonts w:ascii="Calibri" w:hAnsi="Calibri" w:cs="Calibri"/>
              </w:rPr>
            </w:pPr>
          </w:p>
        </w:tc>
        <w:tc>
          <w:tcPr>
            <w:tcW w:w="614" w:type="dxa"/>
            <w:gridSpan w:val="2"/>
            <w:tcBorders>
              <w:bottom w:val="single" w:sz="4" w:space="0" w:color="auto"/>
            </w:tcBorders>
          </w:tcPr>
          <w:p w14:paraId="0A78D745" w14:textId="77777777" w:rsidR="00027556" w:rsidRPr="006437CD" w:rsidRDefault="00027556" w:rsidP="00027556">
            <w:pPr>
              <w:jc w:val="both"/>
              <w:rPr>
                <w:rFonts w:ascii="Calibri" w:hAnsi="Calibri" w:cs="Calibri"/>
              </w:rPr>
            </w:pPr>
          </w:p>
        </w:tc>
        <w:tc>
          <w:tcPr>
            <w:tcW w:w="615" w:type="dxa"/>
            <w:tcBorders>
              <w:bottom w:val="single" w:sz="4" w:space="0" w:color="auto"/>
            </w:tcBorders>
            <w:shd w:val="clear" w:color="auto" w:fill="auto"/>
          </w:tcPr>
          <w:p w14:paraId="58E7334A" w14:textId="77777777" w:rsidR="00027556" w:rsidRPr="006437CD" w:rsidRDefault="00027556" w:rsidP="00027556">
            <w:pPr>
              <w:jc w:val="both"/>
              <w:rPr>
                <w:rFonts w:ascii="Calibri" w:hAnsi="Calibri" w:cs="Calibri"/>
              </w:rPr>
            </w:pPr>
          </w:p>
        </w:tc>
        <w:tc>
          <w:tcPr>
            <w:tcW w:w="3402" w:type="dxa"/>
            <w:tcBorders>
              <w:bottom w:val="single" w:sz="4" w:space="0" w:color="auto"/>
            </w:tcBorders>
          </w:tcPr>
          <w:p w14:paraId="38A78F70" w14:textId="77777777" w:rsidR="00027556" w:rsidRPr="006437CD" w:rsidRDefault="00027556" w:rsidP="00027556">
            <w:pPr>
              <w:jc w:val="both"/>
              <w:rPr>
                <w:rFonts w:ascii="Calibri" w:hAnsi="Calibri" w:cs="Calibri"/>
              </w:rPr>
            </w:pPr>
            <w:r w:rsidRPr="006437CD">
              <w:rPr>
                <w:rFonts w:ascii="Calibri" w:hAnsi="Calibri" w:cs="Calibri"/>
              </w:rPr>
              <w:t>Include response on flooding</w:t>
            </w:r>
          </w:p>
        </w:tc>
      </w:tr>
      <w:tr w:rsidR="00027556" w:rsidRPr="006437CD" w14:paraId="7A7600AA" w14:textId="77777777" w:rsidTr="00027556">
        <w:trPr>
          <w:cantSplit/>
          <w:trHeight w:val="345"/>
        </w:trPr>
        <w:tc>
          <w:tcPr>
            <w:tcW w:w="4253" w:type="dxa"/>
            <w:tcBorders>
              <w:bottom w:val="single" w:sz="4" w:space="0" w:color="auto"/>
            </w:tcBorders>
          </w:tcPr>
          <w:p w14:paraId="3AC89C97" w14:textId="77777777" w:rsidR="00027556" w:rsidRPr="006437CD" w:rsidRDefault="00027556" w:rsidP="00027556">
            <w:pPr>
              <w:jc w:val="both"/>
              <w:rPr>
                <w:rFonts w:ascii="Calibri" w:hAnsi="Calibri" w:cs="Calibri"/>
              </w:rPr>
            </w:pPr>
            <w:r w:rsidRPr="006437CD">
              <w:rPr>
                <w:rFonts w:ascii="Calibri" w:hAnsi="Calibri" w:cs="Calibri"/>
              </w:rPr>
              <w:t>2.4 What mitigation measures have been identified to address any negative impacts/ maximise positive impacts for 2.1 – 2.3 above?</w:t>
            </w:r>
          </w:p>
        </w:tc>
        <w:tc>
          <w:tcPr>
            <w:tcW w:w="614" w:type="dxa"/>
            <w:gridSpan w:val="2"/>
            <w:tcBorders>
              <w:bottom w:val="single" w:sz="4" w:space="0" w:color="auto"/>
            </w:tcBorders>
            <w:shd w:val="clear" w:color="auto" w:fill="auto"/>
          </w:tcPr>
          <w:p w14:paraId="3D2C0D72" w14:textId="77777777" w:rsidR="00027556" w:rsidRPr="006437CD" w:rsidRDefault="00027556" w:rsidP="00027556">
            <w:pPr>
              <w:jc w:val="both"/>
              <w:rPr>
                <w:rFonts w:ascii="Calibri" w:hAnsi="Calibri" w:cs="Calibri"/>
              </w:rPr>
            </w:pPr>
          </w:p>
        </w:tc>
        <w:tc>
          <w:tcPr>
            <w:tcW w:w="614" w:type="dxa"/>
            <w:gridSpan w:val="2"/>
            <w:tcBorders>
              <w:bottom w:val="single" w:sz="4" w:space="0" w:color="auto"/>
            </w:tcBorders>
          </w:tcPr>
          <w:p w14:paraId="5E0C97EB" w14:textId="77777777" w:rsidR="00027556" w:rsidRPr="006437CD" w:rsidRDefault="00027556" w:rsidP="00027556">
            <w:pPr>
              <w:jc w:val="both"/>
              <w:rPr>
                <w:rFonts w:ascii="Calibri" w:hAnsi="Calibri" w:cs="Calibri"/>
              </w:rPr>
            </w:pPr>
          </w:p>
        </w:tc>
        <w:tc>
          <w:tcPr>
            <w:tcW w:w="615" w:type="dxa"/>
            <w:tcBorders>
              <w:bottom w:val="single" w:sz="4" w:space="0" w:color="auto"/>
            </w:tcBorders>
            <w:shd w:val="clear" w:color="auto" w:fill="auto"/>
          </w:tcPr>
          <w:p w14:paraId="242CF37B" w14:textId="77777777" w:rsidR="00027556" w:rsidRPr="006437CD" w:rsidRDefault="00027556" w:rsidP="00027556">
            <w:pPr>
              <w:jc w:val="both"/>
              <w:rPr>
                <w:rFonts w:ascii="Calibri" w:hAnsi="Calibri" w:cs="Calibri"/>
              </w:rPr>
            </w:pPr>
          </w:p>
        </w:tc>
        <w:tc>
          <w:tcPr>
            <w:tcW w:w="3402" w:type="dxa"/>
            <w:tcBorders>
              <w:bottom w:val="single" w:sz="4" w:space="0" w:color="auto"/>
            </w:tcBorders>
          </w:tcPr>
          <w:p w14:paraId="6B8578BE" w14:textId="77777777" w:rsidR="00027556" w:rsidRPr="006437CD" w:rsidRDefault="00027556" w:rsidP="00027556">
            <w:pPr>
              <w:jc w:val="both"/>
              <w:rPr>
                <w:rFonts w:ascii="Calibri" w:hAnsi="Calibri" w:cs="Calibri"/>
              </w:rPr>
            </w:pPr>
          </w:p>
        </w:tc>
      </w:tr>
      <w:tr w:rsidR="00027556" w:rsidRPr="006437CD" w14:paraId="6D8C25BC" w14:textId="77777777" w:rsidTr="00027556">
        <w:trPr>
          <w:cantSplit/>
          <w:trHeight w:val="742"/>
        </w:trPr>
        <w:tc>
          <w:tcPr>
            <w:tcW w:w="4253" w:type="dxa"/>
          </w:tcPr>
          <w:p w14:paraId="1C046C7A" w14:textId="77777777" w:rsidR="00027556" w:rsidRPr="006437CD" w:rsidRDefault="00027556" w:rsidP="00027556">
            <w:pPr>
              <w:jc w:val="both"/>
              <w:rPr>
                <w:rFonts w:ascii="Calibri" w:hAnsi="Calibri" w:cs="Calibri"/>
              </w:rPr>
            </w:pPr>
            <w:r w:rsidRPr="006437CD">
              <w:rPr>
                <w:rFonts w:ascii="Calibri" w:hAnsi="Calibri" w:cs="Calibri"/>
              </w:rPr>
              <w:t xml:space="preserve"> Have you used a whole life costing approach in your business case?</w:t>
            </w:r>
          </w:p>
        </w:tc>
        <w:tc>
          <w:tcPr>
            <w:tcW w:w="614" w:type="dxa"/>
            <w:gridSpan w:val="2"/>
          </w:tcPr>
          <w:p w14:paraId="70C23B64" w14:textId="77777777" w:rsidR="00027556" w:rsidRPr="006437CD" w:rsidRDefault="00027556" w:rsidP="00027556">
            <w:pPr>
              <w:jc w:val="both"/>
              <w:rPr>
                <w:rFonts w:ascii="Calibri" w:hAnsi="Calibri" w:cs="Calibri"/>
              </w:rPr>
            </w:pPr>
          </w:p>
        </w:tc>
        <w:tc>
          <w:tcPr>
            <w:tcW w:w="614" w:type="dxa"/>
            <w:gridSpan w:val="2"/>
          </w:tcPr>
          <w:p w14:paraId="666D5892" w14:textId="77777777" w:rsidR="00027556" w:rsidRPr="006437CD" w:rsidRDefault="00027556" w:rsidP="00027556">
            <w:pPr>
              <w:jc w:val="both"/>
              <w:rPr>
                <w:rFonts w:ascii="Calibri" w:hAnsi="Calibri" w:cs="Calibri"/>
              </w:rPr>
            </w:pPr>
          </w:p>
        </w:tc>
        <w:tc>
          <w:tcPr>
            <w:tcW w:w="615" w:type="dxa"/>
          </w:tcPr>
          <w:p w14:paraId="0BEBD2F3" w14:textId="77777777" w:rsidR="00027556" w:rsidRPr="006437CD" w:rsidRDefault="00027556" w:rsidP="00027556">
            <w:pPr>
              <w:jc w:val="both"/>
              <w:rPr>
                <w:rFonts w:ascii="Calibri" w:hAnsi="Calibri" w:cs="Calibri"/>
              </w:rPr>
            </w:pPr>
          </w:p>
        </w:tc>
        <w:tc>
          <w:tcPr>
            <w:tcW w:w="3402" w:type="dxa"/>
          </w:tcPr>
          <w:p w14:paraId="71087C0E" w14:textId="77777777" w:rsidR="00027556" w:rsidRPr="006437CD" w:rsidRDefault="00027556" w:rsidP="00027556">
            <w:pPr>
              <w:jc w:val="both"/>
              <w:rPr>
                <w:rFonts w:ascii="Calibri" w:hAnsi="Calibri" w:cs="Calibri"/>
              </w:rPr>
            </w:pPr>
          </w:p>
        </w:tc>
      </w:tr>
      <w:tr w:rsidR="00027556" w:rsidRPr="006437CD" w14:paraId="03E09C81" w14:textId="77777777" w:rsidTr="00027556">
        <w:trPr>
          <w:cantSplit/>
          <w:trHeight w:val="742"/>
        </w:trPr>
        <w:tc>
          <w:tcPr>
            <w:tcW w:w="4253" w:type="dxa"/>
          </w:tcPr>
          <w:p w14:paraId="349098DB" w14:textId="77777777" w:rsidR="00027556" w:rsidRPr="006437CD" w:rsidRDefault="00027556" w:rsidP="00027556">
            <w:pPr>
              <w:jc w:val="both"/>
              <w:rPr>
                <w:rFonts w:ascii="Calibri" w:hAnsi="Calibri" w:cs="Calibri"/>
              </w:rPr>
            </w:pPr>
            <w:r w:rsidRPr="006437CD">
              <w:rPr>
                <w:rFonts w:ascii="Calibri" w:hAnsi="Calibri" w:cs="Calibri"/>
              </w:rPr>
              <w:t xml:space="preserve">2.5 Have you requested information from suppliers about their sustainability impacts, including: </w:t>
            </w:r>
          </w:p>
          <w:p w14:paraId="2A44D144" w14:textId="77777777" w:rsidR="00027556" w:rsidRPr="006437CD" w:rsidRDefault="00027556" w:rsidP="00027556">
            <w:pPr>
              <w:pStyle w:val="ListParagraph"/>
              <w:numPr>
                <w:ilvl w:val="1"/>
                <w:numId w:val="10"/>
              </w:numPr>
              <w:spacing w:after="160" w:line="259" w:lineRule="auto"/>
              <w:jc w:val="both"/>
              <w:rPr>
                <w:rFonts w:ascii="Calibri" w:hAnsi="Calibri" w:cs="Calibri"/>
                <w:sz w:val="20"/>
                <w:szCs w:val="20"/>
              </w:rPr>
            </w:pPr>
            <w:r w:rsidRPr="006437CD">
              <w:rPr>
                <w:rFonts w:ascii="Calibri" w:hAnsi="Calibri" w:cs="Calibri"/>
                <w:sz w:val="20"/>
                <w:szCs w:val="20"/>
              </w:rPr>
              <w:t xml:space="preserve">Ecological footprint calculations. </w:t>
            </w:r>
          </w:p>
          <w:p w14:paraId="2D1CF106" w14:textId="77777777" w:rsidR="00027556" w:rsidRPr="006437CD" w:rsidRDefault="00027556" w:rsidP="00027556">
            <w:pPr>
              <w:pStyle w:val="ListParagraph"/>
              <w:numPr>
                <w:ilvl w:val="1"/>
                <w:numId w:val="10"/>
              </w:numPr>
              <w:spacing w:after="160" w:line="259" w:lineRule="auto"/>
              <w:jc w:val="both"/>
              <w:rPr>
                <w:rFonts w:ascii="Calibri" w:hAnsi="Calibri" w:cs="Calibri"/>
                <w:sz w:val="20"/>
                <w:szCs w:val="20"/>
              </w:rPr>
            </w:pPr>
            <w:r w:rsidRPr="006437CD">
              <w:rPr>
                <w:rFonts w:ascii="Calibri" w:hAnsi="Calibri" w:cs="Calibri"/>
                <w:sz w:val="20"/>
                <w:szCs w:val="20"/>
              </w:rPr>
              <w:t>Their carbon reduction plan and GHG emissions reporting/ inventories covering scope 1, 2 and 3 emissions and the proportion of their annual revenue that comes from the Council.</w:t>
            </w:r>
          </w:p>
          <w:p w14:paraId="4A574C6B" w14:textId="77777777" w:rsidR="00027556" w:rsidRPr="006437CD" w:rsidRDefault="00027556" w:rsidP="00027556">
            <w:pPr>
              <w:pStyle w:val="ListParagraph"/>
              <w:numPr>
                <w:ilvl w:val="1"/>
                <w:numId w:val="10"/>
              </w:numPr>
              <w:spacing w:after="160" w:line="259" w:lineRule="auto"/>
              <w:jc w:val="both"/>
              <w:rPr>
                <w:rFonts w:ascii="Calibri" w:hAnsi="Calibri" w:cs="Calibri"/>
                <w:sz w:val="20"/>
                <w:szCs w:val="20"/>
              </w:rPr>
            </w:pPr>
            <w:r w:rsidRPr="006437CD">
              <w:rPr>
                <w:rFonts w:ascii="Calibri" w:hAnsi="Calibri" w:cs="Calibri"/>
                <w:sz w:val="20"/>
                <w:szCs w:val="20"/>
              </w:rPr>
              <w:t xml:space="preserve">Net Zero targets compatible with Oxford City Council’s 2040 goal. </w:t>
            </w:r>
          </w:p>
          <w:p w14:paraId="121B8B87" w14:textId="77777777" w:rsidR="00027556" w:rsidRPr="006437CD" w:rsidRDefault="00027556" w:rsidP="00027556">
            <w:pPr>
              <w:jc w:val="both"/>
              <w:rPr>
                <w:rFonts w:ascii="Calibri" w:hAnsi="Calibri" w:cs="Calibri"/>
              </w:rPr>
            </w:pPr>
          </w:p>
        </w:tc>
        <w:tc>
          <w:tcPr>
            <w:tcW w:w="614" w:type="dxa"/>
            <w:gridSpan w:val="2"/>
          </w:tcPr>
          <w:p w14:paraId="45C467AD" w14:textId="77777777" w:rsidR="00027556" w:rsidRPr="006437CD" w:rsidRDefault="00027556" w:rsidP="00027556">
            <w:pPr>
              <w:jc w:val="both"/>
              <w:rPr>
                <w:rFonts w:ascii="Calibri" w:hAnsi="Calibri" w:cs="Calibri"/>
              </w:rPr>
            </w:pPr>
          </w:p>
        </w:tc>
        <w:tc>
          <w:tcPr>
            <w:tcW w:w="614" w:type="dxa"/>
            <w:gridSpan w:val="2"/>
          </w:tcPr>
          <w:p w14:paraId="1ACA2314" w14:textId="77777777" w:rsidR="00027556" w:rsidRPr="006437CD" w:rsidRDefault="00027556" w:rsidP="00027556">
            <w:pPr>
              <w:jc w:val="both"/>
              <w:rPr>
                <w:rFonts w:ascii="Calibri" w:hAnsi="Calibri" w:cs="Calibri"/>
              </w:rPr>
            </w:pPr>
          </w:p>
        </w:tc>
        <w:tc>
          <w:tcPr>
            <w:tcW w:w="615" w:type="dxa"/>
          </w:tcPr>
          <w:p w14:paraId="57B077D4" w14:textId="77777777" w:rsidR="00027556" w:rsidRPr="006437CD" w:rsidRDefault="00027556" w:rsidP="00027556">
            <w:pPr>
              <w:jc w:val="both"/>
              <w:rPr>
                <w:rFonts w:ascii="Calibri" w:hAnsi="Calibri" w:cs="Calibri"/>
              </w:rPr>
            </w:pPr>
          </w:p>
        </w:tc>
        <w:tc>
          <w:tcPr>
            <w:tcW w:w="3402" w:type="dxa"/>
          </w:tcPr>
          <w:p w14:paraId="27F1D762" w14:textId="77777777" w:rsidR="00027556" w:rsidRPr="006437CD" w:rsidRDefault="00027556" w:rsidP="00027556">
            <w:pPr>
              <w:jc w:val="both"/>
              <w:rPr>
                <w:rFonts w:ascii="Calibri" w:hAnsi="Calibri" w:cs="Calibri"/>
              </w:rPr>
            </w:pPr>
          </w:p>
        </w:tc>
      </w:tr>
      <w:tr w:rsidR="00027556" w:rsidRPr="006437CD" w14:paraId="73092AB0" w14:textId="77777777" w:rsidTr="00027556">
        <w:trPr>
          <w:cantSplit/>
          <w:trHeight w:val="742"/>
        </w:trPr>
        <w:tc>
          <w:tcPr>
            <w:tcW w:w="4253" w:type="dxa"/>
          </w:tcPr>
          <w:p w14:paraId="5AE0A26E" w14:textId="77777777" w:rsidR="00027556" w:rsidRPr="006437CD" w:rsidRDefault="00027556" w:rsidP="00027556">
            <w:pPr>
              <w:jc w:val="both"/>
              <w:rPr>
                <w:rFonts w:ascii="Calibri" w:hAnsi="Calibri" w:cs="Calibri"/>
              </w:rPr>
            </w:pPr>
            <w:r w:rsidRPr="006437CD">
              <w:rPr>
                <w:rFonts w:ascii="Calibri" w:hAnsi="Calibri" w:cs="Calibri"/>
              </w:rPr>
              <w:t>Have you asked your supplier for evidence of best practice in environmental management (e.g. ISO 14001 certification).</w:t>
            </w:r>
          </w:p>
        </w:tc>
        <w:tc>
          <w:tcPr>
            <w:tcW w:w="614" w:type="dxa"/>
            <w:gridSpan w:val="2"/>
          </w:tcPr>
          <w:p w14:paraId="76C43E2F" w14:textId="77777777" w:rsidR="00027556" w:rsidRPr="006437CD" w:rsidRDefault="00027556" w:rsidP="00027556">
            <w:pPr>
              <w:jc w:val="both"/>
              <w:rPr>
                <w:rFonts w:ascii="Calibri" w:hAnsi="Calibri" w:cs="Calibri"/>
              </w:rPr>
            </w:pPr>
          </w:p>
        </w:tc>
        <w:tc>
          <w:tcPr>
            <w:tcW w:w="614" w:type="dxa"/>
            <w:gridSpan w:val="2"/>
          </w:tcPr>
          <w:p w14:paraId="61928450" w14:textId="77777777" w:rsidR="00027556" w:rsidRPr="006437CD" w:rsidRDefault="00027556" w:rsidP="00027556">
            <w:pPr>
              <w:jc w:val="both"/>
              <w:rPr>
                <w:rFonts w:ascii="Calibri" w:hAnsi="Calibri" w:cs="Calibri"/>
              </w:rPr>
            </w:pPr>
          </w:p>
        </w:tc>
        <w:tc>
          <w:tcPr>
            <w:tcW w:w="615" w:type="dxa"/>
          </w:tcPr>
          <w:p w14:paraId="4CEAD8FD" w14:textId="77777777" w:rsidR="00027556" w:rsidRPr="006437CD" w:rsidRDefault="00027556" w:rsidP="00027556">
            <w:pPr>
              <w:jc w:val="both"/>
              <w:rPr>
                <w:rFonts w:ascii="Calibri" w:hAnsi="Calibri" w:cs="Calibri"/>
              </w:rPr>
            </w:pPr>
          </w:p>
        </w:tc>
        <w:tc>
          <w:tcPr>
            <w:tcW w:w="3402" w:type="dxa"/>
          </w:tcPr>
          <w:p w14:paraId="68933946" w14:textId="77777777" w:rsidR="00027556" w:rsidRPr="006437CD" w:rsidRDefault="00027556" w:rsidP="00027556">
            <w:pPr>
              <w:jc w:val="both"/>
              <w:rPr>
                <w:rFonts w:ascii="Calibri" w:hAnsi="Calibri" w:cs="Calibri"/>
              </w:rPr>
            </w:pPr>
          </w:p>
        </w:tc>
      </w:tr>
      <w:tr w:rsidR="00027556" w:rsidRPr="006437CD" w14:paraId="3A250FA9" w14:textId="77777777" w:rsidTr="00027556">
        <w:trPr>
          <w:cantSplit/>
          <w:trHeight w:val="425"/>
        </w:trPr>
        <w:tc>
          <w:tcPr>
            <w:tcW w:w="9498" w:type="dxa"/>
            <w:gridSpan w:val="7"/>
            <w:shd w:val="clear" w:color="auto" w:fill="90A1CF" w:themeFill="accent1" w:themeFillTint="99"/>
          </w:tcPr>
          <w:p w14:paraId="41B7903B"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Step 3. Defining the Procurement Approach and Selecting Suppliers to Tender (or Quote)</w:t>
            </w:r>
          </w:p>
        </w:tc>
      </w:tr>
      <w:tr w:rsidR="00027556" w:rsidRPr="006437CD" w14:paraId="2B6725BD" w14:textId="77777777" w:rsidTr="00027556">
        <w:trPr>
          <w:cantSplit/>
          <w:trHeight w:val="981"/>
        </w:trPr>
        <w:tc>
          <w:tcPr>
            <w:tcW w:w="4253" w:type="dxa"/>
          </w:tcPr>
          <w:p w14:paraId="3AD69346" w14:textId="77777777" w:rsidR="00027556" w:rsidRPr="006437CD" w:rsidRDefault="00027556" w:rsidP="00027556">
            <w:pPr>
              <w:jc w:val="both"/>
              <w:rPr>
                <w:rFonts w:ascii="Calibri" w:hAnsi="Calibri" w:cs="Calibri"/>
              </w:rPr>
            </w:pPr>
            <w:r w:rsidRPr="006437CD">
              <w:rPr>
                <w:rFonts w:ascii="Calibri" w:hAnsi="Calibri" w:cs="Calibri"/>
              </w:rPr>
              <w:t xml:space="preserve">3.1 If you are proposing to use an external framework, have you assessed the extent to which sustainability has been addressed in its procurement? </w:t>
            </w:r>
          </w:p>
        </w:tc>
        <w:tc>
          <w:tcPr>
            <w:tcW w:w="614" w:type="dxa"/>
            <w:gridSpan w:val="2"/>
          </w:tcPr>
          <w:p w14:paraId="54DCA5D7" w14:textId="77777777" w:rsidR="00027556" w:rsidRPr="006437CD" w:rsidRDefault="00027556" w:rsidP="00027556">
            <w:pPr>
              <w:jc w:val="both"/>
              <w:rPr>
                <w:rFonts w:ascii="Calibri" w:hAnsi="Calibri" w:cs="Calibri"/>
              </w:rPr>
            </w:pPr>
          </w:p>
        </w:tc>
        <w:tc>
          <w:tcPr>
            <w:tcW w:w="614" w:type="dxa"/>
            <w:gridSpan w:val="2"/>
          </w:tcPr>
          <w:p w14:paraId="2FD318E6" w14:textId="77777777" w:rsidR="00027556" w:rsidRPr="006437CD" w:rsidRDefault="00027556" w:rsidP="00027556">
            <w:pPr>
              <w:jc w:val="both"/>
              <w:rPr>
                <w:rFonts w:ascii="Calibri" w:hAnsi="Calibri" w:cs="Calibri"/>
              </w:rPr>
            </w:pPr>
          </w:p>
        </w:tc>
        <w:tc>
          <w:tcPr>
            <w:tcW w:w="615" w:type="dxa"/>
          </w:tcPr>
          <w:p w14:paraId="506F09B1" w14:textId="77777777" w:rsidR="00027556" w:rsidRPr="006437CD" w:rsidRDefault="00027556" w:rsidP="00027556">
            <w:pPr>
              <w:jc w:val="both"/>
              <w:rPr>
                <w:rFonts w:ascii="Calibri" w:hAnsi="Calibri" w:cs="Calibri"/>
              </w:rPr>
            </w:pPr>
          </w:p>
        </w:tc>
        <w:tc>
          <w:tcPr>
            <w:tcW w:w="3402" w:type="dxa"/>
          </w:tcPr>
          <w:p w14:paraId="4ED3B8D8" w14:textId="77777777" w:rsidR="00027556" w:rsidRPr="006437CD" w:rsidRDefault="00027556" w:rsidP="00027556">
            <w:pPr>
              <w:jc w:val="both"/>
              <w:rPr>
                <w:rFonts w:ascii="Calibri" w:hAnsi="Calibri" w:cs="Calibri"/>
              </w:rPr>
            </w:pPr>
          </w:p>
        </w:tc>
      </w:tr>
      <w:tr w:rsidR="00027556" w:rsidRPr="006437CD" w14:paraId="145D7C23" w14:textId="77777777" w:rsidTr="00027556">
        <w:trPr>
          <w:cantSplit/>
          <w:trHeight w:val="822"/>
        </w:trPr>
        <w:tc>
          <w:tcPr>
            <w:tcW w:w="4253" w:type="dxa"/>
          </w:tcPr>
          <w:p w14:paraId="2F1F9363" w14:textId="77777777" w:rsidR="00027556" w:rsidRPr="006437CD" w:rsidRDefault="00027556" w:rsidP="00027556">
            <w:pPr>
              <w:jc w:val="both"/>
              <w:rPr>
                <w:rFonts w:ascii="Calibri" w:hAnsi="Calibri" w:cs="Calibri"/>
              </w:rPr>
            </w:pPr>
            <w:r w:rsidRPr="006437CD">
              <w:rPr>
                <w:rFonts w:ascii="Calibri" w:hAnsi="Calibri" w:cs="Calibri"/>
              </w:rPr>
              <w:t xml:space="preserve">3.2 If your contract value is </w:t>
            </w:r>
            <w:r w:rsidRPr="006437CD">
              <w:rPr>
                <w:rFonts w:ascii="Calibri" w:hAnsi="Calibri" w:cs="Calibri"/>
                <w:i/>
                <w:u w:val="single"/>
              </w:rPr>
              <w:t>below</w:t>
            </w:r>
            <w:r w:rsidRPr="006437CD">
              <w:rPr>
                <w:rFonts w:ascii="Calibri" w:hAnsi="Calibri" w:cs="Calibri"/>
              </w:rPr>
              <w:t xml:space="preserve"> the Find a Tender Service threshold, have you identified potential local suppliers?</w:t>
            </w:r>
          </w:p>
        </w:tc>
        <w:tc>
          <w:tcPr>
            <w:tcW w:w="614" w:type="dxa"/>
            <w:gridSpan w:val="2"/>
          </w:tcPr>
          <w:p w14:paraId="6965FAA1" w14:textId="77777777" w:rsidR="00027556" w:rsidRPr="006437CD" w:rsidRDefault="00027556" w:rsidP="00027556">
            <w:pPr>
              <w:jc w:val="both"/>
              <w:rPr>
                <w:rFonts w:ascii="Calibri" w:hAnsi="Calibri" w:cs="Calibri"/>
              </w:rPr>
            </w:pPr>
          </w:p>
        </w:tc>
        <w:tc>
          <w:tcPr>
            <w:tcW w:w="614" w:type="dxa"/>
            <w:gridSpan w:val="2"/>
          </w:tcPr>
          <w:p w14:paraId="084CDF23" w14:textId="77777777" w:rsidR="00027556" w:rsidRPr="006437CD" w:rsidRDefault="00027556" w:rsidP="00027556">
            <w:pPr>
              <w:jc w:val="both"/>
              <w:rPr>
                <w:rFonts w:ascii="Calibri" w:hAnsi="Calibri" w:cs="Calibri"/>
              </w:rPr>
            </w:pPr>
          </w:p>
        </w:tc>
        <w:tc>
          <w:tcPr>
            <w:tcW w:w="615" w:type="dxa"/>
          </w:tcPr>
          <w:p w14:paraId="081903BB" w14:textId="77777777" w:rsidR="00027556" w:rsidRPr="006437CD" w:rsidRDefault="00027556" w:rsidP="00027556">
            <w:pPr>
              <w:jc w:val="both"/>
              <w:rPr>
                <w:rFonts w:ascii="Calibri" w:hAnsi="Calibri" w:cs="Calibri"/>
              </w:rPr>
            </w:pPr>
          </w:p>
        </w:tc>
        <w:tc>
          <w:tcPr>
            <w:tcW w:w="3402" w:type="dxa"/>
          </w:tcPr>
          <w:p w14:paraId="42B0D162" w14:textId="77777777" w:rsidR="00027556" w:rsidRPr="006437CD" w:rsidRDefault="00027556" w:rsidP="00027556">
            <w:pPr>
              <w:jc w:val="both"/>
              <w:rPr>
                <w:rFonts w:ascii="Calibri" w:hAnsi="Calibri" w:cs="Calibri"/>
              </w:rPr>
            </w:pPr>
          </w:p>
        </w:tc>
      </w:tr>
      <w:tr w:rsidR="00027556" w:rsidRPr="006437CD" w14:paraId="380D752C" w14:textId="77777777" w:rsidTr="00027556">
        <w:trPr>
          <w:cantSplit/>
          <w:trHeight w:val="648"/>
        </w:trPr>
        <w:tc>
          <w:tcPr>
            <w:tcW w:w="4253" w:type="dxa"/>
          </w:tcPr>
          <w:p w14:paraId="617014E4" w14:textId="77777777" w:rsidR="00027556" w:rsidRPr="006437CD" w:rsidRDefault="00027556" w:rsidP="00027556">
            <w:pPr>
              <w:jc w:val="both"/>
              <w:rPr>
                <w:rFonts w:ascii="Calibri" w:hAnsi="Calibri" w:cs="Calibri"/>
              </w:rPr>
            </w:pPr>
            <w:r w:rsidRPr="006437CD">
              <w:rPr>
                <w:rFonts w:ascii="Calibri" w:hAnsi="Calibri" w:cs="Calibri"/>
              </w:rPr>
              <w:t xml:space="preserve">3.3 If your contract value is </w:t>
            </w:r>
            <w:r w:rsidRPr="006437CD">
              <w:rPr>
                <w:rFonts w:ascii="Calibri" w:hAnsi="Calibri" w:cs="Calibri"/>
                <w:i/>
                <w:u w:val="single"/>
              </w:rPr>
              <w:t>above</w:t>
            </w:r>
            <w:r w:rsidRPr="006437CD">
              <w:rPr>
                <w:rFonts w:ascii="Calibri" w:hAnsi="Calibri" w:cs="Calibri"/>
              </w:rPr>
              <w:t xml:space="preserve"> the Find a Tender Service threshold, have you alerted local suppliers to the tender or invited local suppliers to quote?</w:t>
            </w:r>
          </w:p>
        </w:tc>
        <w:tc>
          <w:tcPr>
            <w:tcW w:w="614" w:type="dxa"/>
            <w:gridSpan w:val="2"/>
          </w:tcPr>
          <w:p w14:paraId="23DE684A" w14:textId="77777777" w:rsidR="00027556" w:rsidRPr="006437CD" w:rsidRDefault="00027556" w:rsidP="00027556">
            <w:pPr>
              <w:jc w:val="both"/>
              <w:rPr>
                <w:rFonts w:ascii="Calibri" w:hAnsi="Calibri" w:cs="Calibri"/>
              </w:rPr>
            </w:pPr>
          </w:p>
        </w:tc>
        <w:tc>
          <w:tcPr>
            <w:tcW w:w="614" w:type="dxa"/>
            <w:gridSpan w:val="2"/>
          </w:tcPr>
          <w:p w14:paraId="2653A338" w14:textId="77777777" w:rsidR="00027556" w:rsidRPr="006437CD" w:rsidRDefault="00027556" w:rsidP="00027556">
            <w:pPr>
              <w:jc w:val="both"/>
              <w:rPr>
                <w:rFonts w:ascii="Calibri" w:hAnsi="Calibri" w:cs="Calibri"/>
              </w:rPr>
            </w:pPr>
          </w:p>
        </w:tc>
        <w:tc>
          <w:tcPr>
            <w:tcW w:w="615" w:type="dxa"/>
          </w:tcPr>
          <w:p w14:paraId="71A967FE" w14:textId="77777777" w:rsidR="00027556" w:rsidRPr="006437CD" w:rsidRDefault="00027556" w:rsidP="00027556">
            <w:pPr>
              <w:jc w:val="both"/>
              <w:rPr>
                <w:rFonts w:ascii="Calibri" w:hAnsi="Calibri" w:cs="Calibri"/>
              </w:rPr>
            </w:pPr>
          </w:p>
        </w:tc>
        <w:tc>
          <w:tcPr>
            <w:tcW w:w="3402" w:type="dxa"/>
          </w:tcPr>
          <w:p w14:paraId="0B077483" w14:textId="77777777" w:rsidR="00027556" w:rsidRPr="006437CD" w:rsidRDefault="00027556" w:rsidP="00027556">
            <w:pPr>
              <w:jc w:val="both"/>
              <w:rPr>
                <w:rFonts w:ascii="Calibri" w:hAnsi="Calibri" w:cs="Calibri"/>
              </w:rPr>
            </w:pPr>
          </w:p>
        </w:tc>
      </w:tr>
      <w:tr w:rsidR="00027556" w:rsidRPr="006437CD" w14:paraId="0C6BF315" w14:textId="77777777" w:rsidTr="00027556">
        <w:trPr>
          <w:cantSplit/>
          <w:trHeight w:val="626"/>
        </w:trPr>
        <w:tc>
          <w:tcPr>
            <w:tcW w:w="4253" w:type="dxa"/>
          </w:tcPr>
          <w:p w14:paraId="7754D992" w14:textId="77777777" w:rsidR="00027556" w:rsidRPr="006437CD" w:rsidRDefault="00027556" w:rsidP="00027556">
            <w:pPr>
              <w:jc w:val="both"/>
              <w:rPr>
                <w:rFonts w:ascii="Calibri" w:hAnsi="Calibri" w:cs="Calibri"/>
              </w:rPr>
            </w:pPr>
            <w:r w:rsidRPr="006437CD">
              <w:rPr>
                <w:rFonts w:ascii="Calibri" w:hAnsi="Calibri" w:cs="Calibri"/>
              </w:rPr>
              <w:t>3.4 If using a pre-qualification questionnaire (PQQ), have you added any supplementary sustainability criteria to your contract (see mitigation examples in appendix 2)?</w:t>
            </w:r>
          </w:p>
        </w:tc>
        <w:tc>
          <w:tcPr>
            <w:tcW w:w="614" w:type="dxa"/>
            <w:gridSpan w:val="2"/>
          </w:tcPr>
          <w:p w14:paraId="0D2BA5E9" w14:textId="77777777" w:rsidR="00027556" w:rsidRPr="006437CD" w:rsidRDefault="00027556" w:rsidP="00027556">
            <w:pPr>
              <w:jc w:val="both"/>
              <w:rPr>
                <w:rFonts w:ascii="Calibri" w:hAnsi="Calibri" w:cs="Calibri"/>
              </w:rPr>
            </w:pPr>
          </w:p>
        </w:tc>
        <w:tc>
          <w:tcPr>
            <w:tcW w:w="614" w:type="dxa"/>
            <w:gridSpan w:val="2"/>
          </w:tcPr>
          <w:p w14:paraId="5E889676" w14:textId="77777777" w:rsidR="00027556" w:rsidRPr="006437CD" w:rsidRDefault="00027556" w:rsidP="00027556">
            <w:pPr>
              <w:jc w:val="both"/>
              <w:rPr>
                <w:rFonts w:ascii="Calibri" w:hAnsi="Calibri" w:cs="Calibri"/>
              </w:rPr>
            </w:pPr>
          </w:p>
        </w:tc>
        <w:tc>
          <w:tcPr>
            <w:tcW w:w="615" w:type="dxa"/>
          </w:tcPr>
          <w:p w14:paraId="39011D43" w14:textId="77777777" w:rsidR="00027556" w:rsidRPr="006437CD" w:rsidRDefault="00027556" w:rsidP="00027556">
            <w:pPr>
              <w:jc w:val="both"/>
              <w:rPr>
                <w:rFonts w:ascii="Calibri" w:hAnsi="Calibri" w:cs="Calibri"/>
              </w:rPr>
            </w:pPr>
          </w:p>
        </w:tc>
        <w:tc>
          <w:tcPr>
            <w:tcW w:w="3402" w:type="dxa"/>
          </w:tcPr>
          <w:p w14:paraId="7ACC587F" w14:textId="77777777" w:rsidR="00027556" w:rsidRPr="006437CD" w:rsidRDefault="00027556" w:rsidP="00027556">
            <w:pPr>
              <w:jc w:val="both"/>
              <w:rPr>
                <w:rFonts w:ascii="Calibri" w:hAnsi="Calibri" w:cs="Calibri"/>
              </w:rPr>
            </w:pPr>
          </w:p>
        </w:tc>
      </w:tr>
      <w:tr w:rsidR="00027556" w:rsidRPr="006437CD" w14:paraId="1B4C6B38" w14:textId="77777777" w:rsidTr="00027556">
        <w:trPr>
          <w:cantSplit/>
          <w:trHeight w:val="626"/>
        </w:trPr>
        <w:tc>
          <w:tcPr>
            <w:tcW w:w="4253" w:type="dxa"/>
          </w:tcPr>
          <w:p w14:paraId="24591252" w14:textId="77777777" w:rsidR="00027556" w:rsidRPr="006437CD" w:rsidRDefault="00027556" w:rsidP="00027556">
            <w:pPr>
              <w:jc w:val="both"/>
              <w:rPr>
                <w:rFonts w:ascii="Calibri" w:hAnsi="Calibri" w:cs="Calibri"/>
              </w:rPr>
            </w:pPr>
            <w:r w:rsidRPr="006437CD">
              <w:rPr>
                <w:rFonts w:ascii="Calibri" w:hAnsi="Calibri" w:cs="Calibri"/>
              </w:rPr>
              <w:t>3.5 For goods contracts have you checked and used DEFRA’s sustainable specifications designed for procurers: ‘</w:t>
            </w:r>
            <w:hyperlink r:id="rId37" w:history="1">
              <w:r w:rsidRPr="006437CD">
                <w:rPr>
                  <w:rFonts w:ascii="Calibri" w:hAnsi="Calibri" w:cs="Calibri"/>
                </w:rPr>
                <w:t>Government Buying Standards</w:t>
              </w:r>
            </w:hyperlink>
            <w:r w:rsidRPr="006437CD">
              <w:rPr>
                <w:rFonts w:ascii="Calibri" w:hAnsi="Calibri" w:cs="Calibri"/>
              </w:rPr>
              <w:t xml:space="preserve">’? </w:t>
            </w:r>
          </w:p>
        </w:tc>
        <w:tc>
          <w:tcPr>
            <w:tcW w:w="614" w:type="dxa"/>
            <w:gridSpan w:val="2"/>
          </w:tcPr>
          <w:p w14:paraId="08209548" w14:textId="77777777" w:rsidR="00027556" w:rsidRPr="006437CD" w:rsidRDefault="00027556" w:rsidP="00027556">
            <w:pPr>
              <w:jc w:val="both"/>
              <w:rPr>
                <w:rFonts w:ascii="Calibri" w:hAnsi="Calibri" w:cs="Calibri"/>
              </w:rPr>
            </w:pPr>
          </w:p>
        </w:tc>
        <w:tc>
          <w:tcPr>
            <w:tcW w:w="614" w:type="dxa"/>
            <w:gridSpan w:val="2"/>
          </w:tcPr>
          <w:p w14:paraId="650B9530" w14:textId="77777777" w:rsidR="00027556" w:rsidRPr="006437CD" w:rsidRDefault="00027556" w:rsidP="00027556">
            <w:pPr>
              <w:jc w:val="both"/>
              <w:rPr>
                <w:rFonts w:ascii="Calibri" w:hAnsi="Calibri" w:cs="Calibri"/>
              </w:rPr>
            </w:pPr>
          </w:p>
        </w:tc>
        <w:tc>
          <w:tcPr>
            <w:tcW w:w="615" w:type="dxa"/>
          </w:tcPr>
          <w:p w14:paraId="08674ED2" w14:textId="77777777" w:rsidR="00027556" w:rsidRPr="006437CD" w:rsidRDefault="00027556" w:rsidP="00027556">
            <w:pPr>
              <w:jc w:val="both"/>
              <w:rPr>
                <w:rFonts w:ascii="Calibri" w:hAnsi="Calibri" w:cs="Calibri"/>
              </w:rPr>
            </w:pPr>
          </w:p>
        </w:tc>
        <w:tc>
          <w:tcPr>
            <w:tcW w:w="3402" w:type="dxa"/>
          </w:tcPr>
          <w:p w14:paraId="7E4795D8" w14:textId="77777777" w:rsidR="00027556" w:rsidRPr="006437CD" w:rsidRDefault="00027556" w:rsidP="00027556">
            <w:pPr>
              <w:jc w:val="both"/>
              <w:rPr>
                <w:rFonts w:ascii="Calibri" w:hAnsi="Calibri" w:cs="Calibri"/>
              </w:rPr>
            </w:pPr>
          </w:p>
        </w:tc>
      </w:tr>
      <w:tr w:rsidR="00027556" w:rsidRPr="006437CD" w14:paraId="43699A83" w14:textId="77777777" w:rsidTr="00027556">
        <w:trPr>
          <w:cantSplit/>
          <w:trHeight w:val="425"/>
        </w:trPr>
        <w:tc>
          <w:tcPr>
            <w:tcW w:w="9498" w:type="dxa"/>
            <w:gridSpan w:val="7"/>
            <w:shd w:val="clear" w:color="auto" w:fill="90A1CF" w:themeFill="accent1" w:themeFillTint="99"/>
          </w:tcPr>
          <w:p w14:paraId="5DB9FE9C"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Step 4. Tendering and Evaluation</w:t>
            </w:r>
          </w:p>
        </w:tc>
      </w:tr>
      <w:tr w:rsidR="00027556" w:rsidRPr="006437CD" w14:paraId="76BA7AA2" w14:textId="77777777" w:rsidTr="00027556">
        <w:trPr>
          <w:cantSplit/>
          <w:trHeight w:val="796"/>
        </w:trPr>
        <w:tc>
          <w:tcPr>
            <w:tcW w:w="4253" w:type="dxa"/>
          </w:tcPr>
          <w:p w14:paraId="45596663" w14:textId="77777777" w:rsidR="00027556" w:rsidRPr="006437CD" w:rsidRDefault="00027556" w:rsidP="00027556">
            <w:pPr>
              <w:jc w:val="both"/>
              <w:rPr>
                <w:rFonts w:ascii="Calibri" w:hAnsi="Calibri" w:cs="Calibri"/>
              </w:rPr>
            </w:pPr>
            <w:r w:rsidRPr="006437CD">
              <w:rPr>
                <w:rFonts w:ascii="Calibri" w:hAnsi="Calibri" w:cs="Calibri"/>
              </w:rPr>
              <w:t xml:space="preserve">4.1 Have the identified environmental impacts (listed above) been addressed in your contract specification with corresponding sustainability objectives? </w:t>
            </w:r>
          </w:p>
        </w:tc>
        <w:tc>
          <w:tcPr>
            <w:tcW w:w="614" w:type="dxa"/>
            <w:gridSpan w:val="2"/>
          </w:tcPr>
          <w:p w14:paraId="11B9B2CB" w14:textId="77777777" w:rsidR="00027556" w:rsidRPr="006437CD" w:rsidRDefault="00027556" w:rsidP="00027556">
            <w:pPr>
              <w:jc w:val="both"/>
              <w:rPr>
                <w:rFonts w:ascii="Calibri" w:hAnsi="Calibri" w:cs="Calibri"/>
              </w:rPr>
            </w:pPr>
          </w:p>
        </w:tc>
        <w:tc>
          <w:tcPr>
            <w:tcW w:w="614" w:type="dxa"/>
            <w:gridSpan w:val="2"/>
          </w:tcPr>
          <w:p w14:paraId="1C0CCC85" w14:textId="77777777" w:rsidR="00027556" w:rsidRPr="006437CD" w:rsidRDefault="00027556" w:rsidP="00027556">
            <w:pPr>
              <w:jc w:val="both"/>
              <w:rPr>
                <w:rFonts w:ascii="Calibri" w:hAnsi="Calibri" w:cs="Calibri"/>
              </w:rPr>
            </w:pPr>
          </w:p>
        </w:tc>
        <w:tc>
          <w:tcPr>
            <w:tcW w:w="615" w:type="dxa"/>
          </w:tcPr>
          <w:p w14:paraId="320EDBB1" w14:textId="77777777" w:rsidR="00027556" w:rsidRPr="006437CD" w:rsidRDefault="00027556" w:rsidP="00027556">
            <w:pPr>
              <w:jc w:val="both"/>
              <w:rPr>
                <w:rFonts w:ascii="Calibri" w:hAnsi="Calibri" w:cs="Calibri"/>
              </w:rPr>
            </w:pPr>
          </w:p>
        </w:tc>
        <w:tc>
          <w:tcPr>
            <w:tcW w:w="3402" w:type="dxa"/>
          </w:tcPr>
          <w:p w14:paraId="7F0ED2D0" w14:textId="77777777" w:rsidR="00027556" w:rsidRPr="006437CD" w:rsidRDefault="00027556" w:rsidP="00027556">
            <w:pPr>
              <w:jc w:val="both"/>
              <w:rPr>
                <w:rFonts w:ascii="Calibri" w:hAnsi="Calibri" w:cs="Calibri"/>
              </w:rPr>
            </w:pPr>
          </w:p>
        </w:tc>
      </w:tr>
      <w:tr w:rsidR="00027556" w:rsidRPr="006437CD" w14:paraId="6CBDB9FF" w14:textId="77777777" w:rsidTr="00027556">
        <w:trPr>
          <w:cantSplit/>
          <w:trHeight w:val="641"/>
        </w:trPr>
        <w:tc>
          <w:tcPr>
            <w:tcW w:w="4253" w:type="dxa"/>
          </w:tcPr>
          <w:p w14:paraId="6AFF8977" w14:textId="77777777" w:rsidR="00027556" w:rsidRPr="006437CD" w:rsidRDefault="00027556" w:rsidP="00027556">
            <w:pPr>
              <w:jc w:val="both"/>
              <w:rPr>
                <w:rFonts w:ascii="Calibri" w:hAnsi="Calibri" w:cs="Calibri"/>
              </w:rPr>
            </w:pPr>
            <w:r w:rsidRPr="006437CD">
              <w:rPr>
                <w:rFonts w:ascii="Calibri" w:hAnsi="Calibri" w:cs="Calibri"/>
              </w:rPr>
              <w:t>4.2 Have you used an outcome-based specification as far as possible?</w:t>
            </w:r>
          </w:p>
        </w:tc>
        <w:tc>
          <w:tcPr>
            <w:tcW w:w="614" w:type="dxa"/>
            <w:gridSpan w:val="2"/>
          </w:tcPr>
          <w:p w14:paraId="68499ABB" w14:textId="77777777" w:rsidR="00027556" w:rsidRPr="006437CD" w:rsidRDefault="00027556" w:rsidP="00027556">
            <w:pPr>
              <w:jc w:val="both"/>
              <w:rPr>
                <w:rFonts w:ascii="Calibri" w:hAnsi="Calibri" w:cs="Calibri"/>
              </w:rPr>
            </w:pPr>
          </w:p>
        </w:tc>
        <w:tc>
          <w:tcPr>
            <w:tcW w:w="614" w:type="dxa"/>
            <w:gridSpan w:val="2"/>
          </w:tcPr>
          <w:p w14:paraId="6AC1E58D" w14:textId="77777777" w:rsidR="00027556" w:rsidRPr="006437CD" w:rsidRDefault="00027556" w:rsidP="00027556">
            <w:pPr>
              <w:jc w:val="both"/>
              <w:rPr>
                <w:rFonts w:ascii="Calibri" w:hAnsi="Calibri" w:cs="Calibri"/>
              </w:rPr>
            </w:pPr>
          </w:p>
        </w:tc>
        <w:tc>
          <w:tcPr>
            <w:tcW w:w="615" w:type="dxa"/>
          </w:tcPr>
          <w:p w14:paraId="2B904876" w14:textId="77777777" w:rsidR="00027556" w:rsidRPr="006437CD" w:rsidRDefault="00027556" w:rsidP="00027556">
            <w:pPr>
              <w:jc w:val="both"/>
              <w:rPr>
                <w:rFonts w:ascii="Calibri" w:hAnsi="Calibri" w:cs="Calibri"/>
              </w:rPr>
            </w:pPr>
          </w:p>
        </w:tc>
        <w:tc>
          <w:tcPr>
            <w:tcW w:w="3402" w:type="dxa"/>
          </w:tcPr>
          <w:p w14:paraId="5938A278" w14:textId="77777777" w:rsidR="00027556" w:rsidRPr="006437CD" w:rsidRDefault="00027556" w:rsidP="00027556">
            <w:pPr>
              <w:jc w:val="both"/>
              <w:rPr>
                <w:rFonts w:ascii="Calibri" w:hAnsi="Calibri" w:cs="Calibri"/>
              </w:rPr>
            </w:pPr>
          </w:p>
        </w:tc>
      </w:tr>
      <w:tr w:rsidR="00027556" w:rsidRPr="006437CD" w14:paraId="529D073B" w14:textId="77777777" w:rsidTr="00027556">
        <w:trPr>
          <w:cantSplit/>
          <w:trHeight w:val="821"/>
        </w:trPr>
        <w:tc>
          <w:tcPr>
            <w:tcW w:w="4253" w:type="dxa"/>
          </w:tcPr>
          <w:p w14:paraId="459554C3" w14:textId="77777777" w:rsidR="00027556" w:rsidRPr="006437CD" w:rsidRDefault="00027556" w:rsidP="00027556">
            <w:pPr>
              <w:jc w:val="both"/>
              <w:rPr>
                <w:rFonts w:ascii="Calibri" w:hAnsi="Calibri" w:cs="Calibri"/>
              </w:rPr>
            </w:pPr>
            <w:r w:rsidRPr="006437CD">
              <w:rPr>
                <w:rFonts w:ascii="Calibri" w:hAnsi="Calibri" w:cs="Calibri"/>
              </w:rPr>
              <w:t>4.3 Have you included a requirement for monitoring environmental impacts and performance during contract delivery?</w:t>
            </w:r>
          </w:p>
        </w:tc>
        <w:tc>
          <w:tcPr>
            <w:tcW w:w="614" w:type="dxa"/>
            <w:gridSpan w:val="2"/>
          </w:tcPr>
          <w:p w14:paraId="0CE190B0" w14:textId="77777777" w:rsidR="00027556" w:rsidRPr="006437CD" w:rsidRDefault="00027556" w:rsidP="00027556">
            <w:pPr>
              <w:jc w:val="both"/>
              <w:rPr>
                <w:rFonts w:ascii="Calibri" w:hAnsi="Calibri" w:cs="Calibri"/>
              </w:rPr>
            </w:pPr>
          </w:p>
        </w:tc>
        <w:tc>
          <w:tcPr>
            <w:tcW w:w="614" w:type="dxa"/>
            <w:gridSpan w:val="2"/>
          </w:tcPr>
          <w:p w14:paraId="44786D3B" w14:textId="77777777" w:rsidR="00027556" w:rsidRPr="006437CD" w:rsidRDefault="00027556" w:rsidP="00027556">
            <w:pPr>
              <w:jc w:val="both"/>
              <w:rPr>
                <w:rFonts w:ascii="Calibri" w:hAnsi="Calibri" w:cs="Calibri"/>
              </w:rPr>
            </w:pPr>
          </w:p>
        </w:tc>
        <w:tc>
          <w:tcPr>
            <w:tcW w:w="615" w:type="dxa"/>
          </w:tcPr>
          <w:p w14:paraId="5B033A3D" w14:textId="77777777" w:rsidR="00027556" w:rsidRPr="006437CD" w:rsidRDefault="00027556" w:rsidP="00027556">
            <w:pPr>
              <w:jc w:val="both"/>
              <w:rPr>
                <w:rFonts w:ascii="Calibri" w:hAnsi="Calibri" w:cs="Calibri"/>
              </w:rPr>
            </w:pPr>
          </w:p>
        </w:tc>
        <w:tc>
          <w:tcPr>
            <w:tcW w:w="3402" w:type="dxa"/>
          </w:tcPr>
          <w:p w14:paraId="25DE0CC7" w14:textId="77777777" w:rsidR="00027556" w:rsidRPr="006437CD" w:rsidRDefault="00027556" w:rsidP="00027556">
            <w:pPr>
              <w:jc w:val="both"/>
              <w:rPr>
                <w:rFonts w:ascii="Calibri" w:hAnsi="Calibri" w:cs="Calibri"/>
              </w:rPr>
            </w:pPr>
          </w:p>
        </w:tc>
      </w:tr>
      <w:tr w:rsidR="00027556" w:rsidRPr="006437CD" w14:paraId="63C1C1EA" w14:textId="77777777" w:rsidTr="00027556">
        <w:trPr>
          <w:cantSplit/>
          <w:trHeight w:val="821"/>
        </w:trPr>
        <w:tc>
          <w:tcPr>
            <w:tcW w:w="4253" w:type="dxa"/>
          </w:tcPr>
          <w:p w14:paraId="6D2B5393" w14:textId="77777777" w:rsidR="00027556" w:rsidRPr="006437CD" w:rsidRDefault="00027556" w:rsidP="00027556">
            <w:pPr>
              <w:jc w:val="both"/>
              <w:rPr>
                <w:rFonts w:ascii="Calibri" w:hAnsi="Calibri" w:cs="Calibri"/>
              </w:rPr>
            </w:pPr>
            <w:r w:rsidRPr="006437CD">
              <w:rPr>
                <w:rFonts w:ascii="Calibri" w:hAnsi="Calibri" w:cs="Calibri"/>
              </w:rPr>
              <w:t>4.4 Have you set targets for improvement in environmental performance over the life of the contract?</w:t>
            </w:r>
          </w:p>
        </w:tc>
        <w:tc>
          <w:tcPr>
            <w:tcW w:w="614" w:type="dxa"/>
            <w:gridSpan w:val="2"/>
          </w:tcPr>
          <w:p w14:paraId="323212E2" w14:textId="77777777" w:rsidR="00027556" w:rsidRPr="006437CD" w:rsidRDefault="00027556" w:rsidP="00027556">
            <w:pPr>
              <w:jc w:val="both"/>
              <w:rPr>
                <w:rFonts w:ascii="Calibri" w:hAnsi="Calibri" w:cs="Calibri"/>
              </w:rPr>
            </w:pPr>
          </w:p>
        </w:tc>
        <w:tc>
          <w:tcPr>
            <w:tcW w:w="614" w:type="dxa"/>
            <w:gridSpan w:val="2"/>
          </w:tcPr>
          <w:p w14:paraId="460B31E8" w14:textId="77777777" w:rsidR="00027556" w:rsidRPr="006437CD" w:rsidRDefault="00027556" w:rsidP="00027556">
            <w:pPr>
              <w:jc w:val="both"/>
              <w:rPr>
                <w:rFonts w:ascii="Calibri" w:hAnsi="Calibri" w:cs="Calibri"/>
              </w:rPr>
            </w:pPr>
          </w:p>
        </w:tc>
        <w:tc>
          <w:tcPr>
            <w:tcW w:w="615" w:type="dxa"/>
          </w:tcPr>
          <w:p w14:paraId="368667E6" w14:textId="77777777" w:rsidR="00027556" w:rsidRPr="006437CD" w:rsidRDefault="00027556" w:rsidP="00027556">
            <w:pPr>
              <w:jc w:val="both"/>
              <w:rPr>
                <w:rFonts w:ascii="Calibri" w:hAnsi="Calibri" w:cs="Calibri"/>
              </w:rPr>
            </w:pPr>
          </w:p>
        </w:tc>
        <w:tc>
          <w:tcPr>
            <w:tcW w:w="3402" w:type="dxa"/>
          </w:tcPr>
          <w:p w14:paraId="5D4CBB7E" w14:textId="77777777" w:rsidR="00027556" w:rsidRPr="006437CD" w:rsidRDefault="00027556" w:rsidP="00027556">
            <w:pPr>
              <w:jc w:val="both"/>
              <w:rPr>
                <w:rFonts w:ascii="Calibri" w:hAnsi="Calibri" w:cs="Calibri"/>
              </w:rPr>
            </w:pPr>
          </w:p>
        </w:tc>
      </w:tr>
      <w:tr w:rsidR="00027556" w:rsidRPr="006437CD" w14:paraId="78691B80" w14:textId="77777777" w:rsidTr="00027556">
        <w:trPr>
          <w:cantSplit/>
          <w:trHeight w:val="606"/>
        </w:trPr>
        <w:tc>
          <w:tcPr>
            <w:tcW w:w="4253" w:type="dxa"/>
          </w:tcPr>
          <w:p w14:paraId="1B39127D" w14:textId="77777777" w:rsidR="00027556" w:rsidRPr="006437CD" w:rsidRDefault="00027556" w:rsidP="00027556">
            <w:pPr>
              <w:jc w:val="both"/>
              <w:rPr>
                <w:rFonts w:ascii="Calibri" w:hAnsi="Calibri" w:cs="Calibri"/>
              </w:rPr>
            </w:pPr>
            <w:r w:rsidRPr="006437CD">
              <w:rPr>
                <w:rFonts w:ascii="Calibri" w:hAnsi="Calibri" w:cs="Calibri"/>
              </w:rPr>
              <w:t>4.5 Have you asked for sufficient information to enable evaluation of whole life costs if relevant to this procurement?</w:t>
            </w:r>
          </w:p>
        </w:tc>
        <w:tc>
          <w:tcPr>
            <w:tcW w:w="614" w:type="dxa"/>
            <w:gridSpan w:val="2"/>
          </w:tcPr>
          <w:p w14:paraId="77870F23" w14:textId="77777777" w:rsidR="00027556" w:rsidRPr="006437CD" w:rsidRDefault="00027556" w:rsidP="00027556">
            <w:pPr>
              <w:jc w:val="both"/>
              <w:rPr>
                <w:rFonts w:ascii="Calibri" w:hAnsi="Calibri" w:cs="Calibri"/>
              </w:rPr>
            </w:pPr>
          </w:p>
        </w:tc>
        <w:tc>
          <w:tcPr>
            <w:tcW w:w="614" w:type="dxa"/>
            <w:gridSpan w:val="2"/>
          </w:tcPr>
          <w:p w14:paraId="135CA7BB" w14:textId="77777777" w:rsidR="00027556" w:rsidRPr="006437CD" w:rsidRDefault="00027556" w:rsidP="00027556">
            <w:pPr>
              <w:jc w:val="both"/>
              <w:rPr>
                <w:rFonts w:ascii="Calibri" w:hAnsi="Calibri" w:cs="Calibri"/>
              </w:rPr>
            </w:pPr>
          </w:p>
        </w:tc>
        <w:tc>
          <w:tcPr>
            <w:tcW w:w="615" w:type="dxa"/>
          </w:tcPr>
          <w:p w14:paraId="649B67B4" w14:textId="77777777" w:rsidR="00027556" w:rsidRPr="006437CD" w:rsidRDefault="00027556" w:rsidP="00027556">
            <w:pPr>
              <w:jc w:val="both"/>
              <w:rPr>
                <w:rFonts w:ascii="Calibri" w:hAnsi="Calibri" w:cs="Calibri"/>
              </w:rPr>
            </w:pPr>
          </w:p>
        </w:tc>
        <w:tc>
          <w:tcPr>
            <w:tcW w:w="3402" w:type="dxa"/>
          </w:tcPr>
          <w:p w14:paraId="38E65C20" w14:textId="77777777" w:rsidR="00027556" w:rsidRPr="006437CD" w:rsidRDefault="00027556" w:rsidP="00027556">
            <w:pPr>
              <w:jc w:val="both"/>
              <w:rPr>
                <w:rFonts w:ascii="Calibri" w:hAnsi="Calibri" w:cs="Calibri"/>
              </w:rPr>
            </w:pPr>
          </w:p>
        </w:tc>
      </w:tr>
      <w:tr w:rsidR="00027556" w:rsidRPr="006437CD" w14:paraId="05DC8BA9" w14:textId="77777777" w:rsidTr="00027556">
        <w:trPr>
          <w:cantSplit/>
          <w:trHeight w:val="425"/>
        </w:trPr>
        <w:tc>
          <w:tcPr>
            <w:tcW w:w="9498" w:type="dxa"/>
            <w:gridSpan w:val="7"/>
            <w:shd w:val="clear" w:color="auto" w:fill="90A1CF" w:themeFill="accent1" w:themeFillTint="99"/>
          </w:tcPr>
          <w:p w14:paraId="73510292" w14:textId="77777777" w:rsidR="00027556" w:rsidRPr="006437CD" w:rsidRDefault="00027556" w:rsidP="00027556">
            <w:pPr>
              <w:jc w:val="both"/>
              <w:rPr>
                <w:rStyle w:val="Bold"/>
                <w:rFonts w:ascii="Calibri" w:hAnsi="Calibri" w:cs="Calibri"/>
                <w:sz w:val="20"/>
              </w:rPr>
            </w:pPr>
            <w:r w:rsidRPr="006437CD">
              <w:rPr>
                <w:rStyle w:val="Bold"/>
                <w:rFonts w:ascii="Calibri" w:hAnsi="Calibri" w:cs="Calibri"/>
                <w:sz w:val="20"/>
              </w:rPr>
              <w:t>Step 5. Awarding and Implementing the Contract</w:t>
            </w:r>
          </w:p>
        </w:tc>
      </w:tr>
      <w:tr w:rsidR="00027556" w:rsidRPr="006437CD" w14:paraId="59D9547C" w14:textId="77777777" w:rsidTr="00027556">
        <w:trPr>
          <w:cantSplit/>
          <w:trHeight w:val="622"/>
        </w:trPr>
        <w:tc>
          <w:tcPr>
            <w:tcW w:w="4253" w:type="dxa"/>
          </w:tcPr>
          <w:p w14:paraId="78E6862B" w14:textId="77777777" w:rsidR="00027556" w:rsidRPr="006437CD" w:rsidRDefault="00027556" w:rsidP="00027556">
            <w:pPr>
              <w:jc w:val="both"/>
              <w:rPr>
                <w:rFonts w:ascii="Calibri" w:hAnsi="Calibri" w:cs="Calibri"/>
              </w:rPr>
            </w:pPr>
            <w:r w:rsidRPr="006437CD">
              <w:rPr>
                <w:rFonts w:ascii="Calibri" w:hAnsi="Calibri" w:cs="Calibri"/>
              </w:rPr>
              <w:t>5.1 Have you given unsuccessful bidders feedback on the sustainability aspects of their tenders?</w:t>
            </w:r>
          </w:p>
        </w:tc>
        <w:tc>
          <w:tcPr>
            <w:tcW w:w="567" w:type="dxa"/>
          </w:tcPr>
          <w:p w14:paraId="3EB60D2B" w14:textId="77777777" w:rsidR="00027556" w:rsidRPr="006437CD" w:rsidRDefault="00027556" w:rsidP="00027556">
            <w:pPr>
              <w:jc w:val="both"/>
              <w:rPr>
                <w:rFonts w:ascii="Calibri" w:hAnsi="Calibri" w:cs="Calibri"/>
              </w:rPr>
            </w:pPr>
          </w:p>
        </w:tc>
        <w:tc>
          <w:tcPr>
            <w:tcW w:w="638" w:type="dxa"/>
            <w:gridSpan w:val="2"/>
          </w:tcPr>
          <w:p w14:paraId="6923F3AD" w14:textId="77777777" w:rsidR="00027556" w:rsidRPr="006437CD" w:rsidRDefault="00027556" w:rsidP="00027556">
            <w:pPr>
              <w:jc w:val="both"/>
              <w:rPr>
                <w:rFonts w:ascii="Calibri" w:hAnsi="Calibri" w:cs="Calibri"/>
              </w:rPr>
            </w:pPr>
          </w:p>
        </w:tc>
        <w:tc>
          <w:tcPr>
            <w:tcW w:w="638" w:type="dxa"/>
            <w:gridSpan w:val="2"/>
          </w:tcPr>
          <w:p w14:paraId="23481183" w14:textId="77777777" w:rsidR="00027556" w:rsidRPr="006437CD" w:rsidRDefault="00027556" w:rsidP="00027556">
            <w:pPr>
              <w:jc w:val="both"/>
              <w:rPr>
                <w:rFonts w:ascii="Calibri" w:hAnsi="Calibri" w:cs="Calibri"/>
              </w:rPr>
            </w:pPr>
          </w:p>
        </w:tc>
        <w:tc>
          <w:tcPr>
            <w:tcW w:w="3402" w:type="dxa"/>
          </w:tcPr>
          <w:p w14:paraId="1ED48404" w14:textId="77777777" w:rsidR="00027556" w:rsidRPr="006437CD" w:rsidRDefault="00027556" w:rsidP="00027556">
            <w:pPr>
              <w:jc w:val="both"/>
              <w:rPr>
                <w:rFonts w:ascii="Calibri" w:hAnsi="Calibri" w:cs="Calibri"/>
              </w:rPr>
            </w:pPr>
          </w:p>
        </w:tc>
      </w:tr>
      <w:tr w:rsidR="00027556" w:rsidRPr="006437CD" w14:paraId="3EAEF113" w14:textId="77777777" w:rsidTr="00027556">
        <w:trPr>
          <w:cantSplit/>
          <w:trHeight w:val="878"/>
        </w:trPr>
        <w:tc>
          <w:tcPr>
            <w:tcW w:w="4253" w:type="dxa"/>
          </w:tcPr>
          <w:p w14:paraId="018AFA62" w14:textId="77777777" w:rsidR="00027556" w:rsidRPr="006437CD" w:rsidRDefault="00027556" w:rsidP="00027556">
            <w:pPr>
              <w:jc w:val="both"/>
              <w:rPr>
                <w:rFonts w:ascii="Calibri" w:hAnsi="Calibri" w:cs="Calibri"/>
              </w:rPr>
            </w:pPr>
            <w:r w:rsidRPr="006437CD">
              <w:rPr>
                <w:rFonts w:ascii="Calibri" w:hAnsi="Calibri" w:cs="Calibri"/>
              </w:rPr>
              <w:t>5.2 Have you put processes in place with the appointed supplier for monitoring and reporting on sustainability performance?</w:t>
            </w:r>
          </w:p>
        </w:tc>
        <w:tc>
          <w:tcPr>
            <w:tcW w:w="567" w:type="dxa"/>
          </w:tcPr>
          <w:p w14:paraId="4BB43334" w14:textId="77777777" w:rsidR="00027556" w:rsidRPr="006437CD" w:rsidRDefault="00027556" w:rsidP="00027556">
            <w:pPr>
              <w:jc w:val="both"/>
              <w:rPr>
                <w:rFonts w:ascii="Calibri" w:hAnsi="Calibri" w:cs="Calibri"/>
              </w:rPr>
            </w:pPr>
          </w:p>
        </w:tc>
        <w:tc>
          <w:tcPr>
            <w:tcW w:w="638" w:type="dxa"/>
            <w:gridSpan w:val="2"/>
          </w:tcPr>
          <w:p w14:paraId="5B1D352C" w14:textId="77777777" w:rsidR="00027556" w:rsidRPr="006437CD" w:rsidRDefault="00027556" w:rsidP="00027556">
            <w:pPr>
              <w:jc w:val="both"/>
              <w:rPr>
                <w:rFonts w:ascii="Calibri" w:hAnsi="Calibri" w:cs="Calibri"/>
              </w:rPr>
            </w:pPr>
          </w:p>
        </w:tc>
        <w:tc>
          <w:tcPr>
            <w:tcW w:w="638" w:type="dxa"/>
            <w:gridSpan w:val="2"/>
          </w:tcPr>
          <w:p w14:paraId="0A8DB1C7" w14:textId="77777777" w:rsidR="00027556" w:rsidRPr="006437CD" w:rsidRDefault="00027556" w:rsidP="00027556">
            <w:pPr>
              <w:jc w:val="both"/>
              <w:rPr>
                <w:rFonts w:ascii="Calibri" w:hAnsi="Calibri" w:cs="Calibri"/>
              </w:rPr>
            </w:pPr>
          </w:p>
        </w:tc>
        <w:tc>
          <w:tcPr>
            <w:tcW w:w="3402" w:type="dxa"/>
          </w:tcPr>
          <w:p w14:paraId="78E9DC22" w14:textId="77777777" w:rsidR="00027556" w:rsidRPr="006437CD" w:rsidRDefault="00027556" w:rsidP="00027556">
            <w:pPr>
              <w:jc w:val="both"/>
              <w:rPr>
                <w:rFonts w:ascii="Calibri" w:hAnsi="Calibri" w:cs="Calibri"/>
              </w:rPr>
            </w:pPr>
          </w:p>
        </w:tc>
      </w:tr>
    </w:tbl>
    <w:p w14:paraId="58632EF5" w14:textId="77777777" w:rsidR="00027556" w:rsidRDefault="00027556" w:rsidP="00027556">
      <w:pPr>
        <w:rPr>
          <w:rFonts w:ascii="Calibri" w:hAnsi="Calibri" w:cs="Calibri"/>
          <w:bCs/>
        </w:rPr>
      </w:pPr>
    </w:p>
    <w:p w14:paraId="700D4AA9" w14:textId="77777777" w:rsidR="00781F3C" w:rsidRPr="006437CD" w:rsidRDefault="00781F3C" w:rsidP="00027556">
      <w:pPr>
        <w:rPr>
          <w:rFonts w:ascii="Calibri" w:hAnsi="Calibri" w:cs="Calibri"/>
          <w:bCs/>
        </w:rPr>
      </w:pPr>
      <w:r>
        <w:rPr>
          <w:rFonts w:ascii="Calibri" w:hAnsi="Calibri" w:cs="Calibri"/>
          <w:bCs/>
        </w:rPr>
        <w:t xml:space="preserve">Further guidance can be found on the intranet </w:t>
      </w:r>
      <w:hyperlink r:id="rId38" w:history="1">
        <w:r>
          <w:rPr>
            <w:rStyle w:val="Hyperlink"/>
          </w:rPr>
          <w:t>Procurement Documents and Templates - tasks and guides</w:t>
        </w:r>
      </w:hyperlink>
    </w:p>
    <w:p w14:paraId="1BBA1DCC" w14:textId="77777777" w:rsidR="00BB7F51" w:rsidRDefault="00BB7F51" w:rsidP="00781F3C">
      <w:pPr>
        <w:pStyle w:val="Heading3"/>
      </w:pPr>
    </w:p>
    <w:p w14:paraId="48F6378B" w14:textId="77777777" w:rsidR="002875F7" w:rsidRPr="006437CD" w:rsidRDefault="00027556" w:rsidP="00781F3C">
      <w:pPr>
        <w:pStyle w:val="Heading3"/>
      </w:pPr>
      <w:bookmarkStart w:id="42" w:name="_Toc117766951"/>
      <w:r w:rsidRPr="006437CD">
        <w:t>Ethical Procurement</w:t>
      </w:r>
      <w:bookmarkEnd w:id="42"/>
    </w:p>
    <w:p w14:paraId="28BDBCF8" w14:textId="77777777" w:rsidR="00311205" w:rsidRDefault="00311205" w:rsidP="00311205">
      <w:pPr>
        <w:pStyle w:val="ListParagraph"/>
        <w:rPr>
          <w:rFonts w:ascii="Calibri" w:hAnsi="Calibri" w:cs="Calibri"/>
          <w:sz w:val="20"/>
          <w:szCs w:val="20"/>
        </w:rPr>
      </w:pPr>
    </w:p>
    <w:p w14:paraId="12073809" w14:textId="77777777" w:rsidR="00027556" w:rsidRDefault="00027556" w:rsidP="00027556">
      <w:pPr>
        <w:pStyle w:val="ListParagraph"/>
        <w:numPr>
          <w:ilvl w:val="0"/>
          <w:numId w:val="3"/>
        </w:numPr>
        <w:rPr>
          <w:rFonts w:ascii="Calibri" w:hAnsi="Calibri" w:cs="Calibri"/>
          <w:sz w:val="20"/>
          <w:szCs w:val="20"/>
        </w:rPr>
      </w:pPr>
      <w:r w:rsidRPr="006437CD">
        <w:rPr>
          <w:rFonts w:ascii="Calibri" w:hAnsi="Calibri" w:cs="Calibri"/>
          <w:sz w:val="20"/>
          <w:szCs w:val="20"/>
        </w:rPr>
        <w:t>The following clauses are in the standard council tender documents:</w:t>
      </w:r>
    </w:p>
    <w:p w14:paraId="17558E4C" w14:textId="77777777" w:rsidR="00BB7F51" w:rsidRDefault="00BB7F51" w:rsidP="00BB7F51">
      <w:pPr>
        <w:rPr>
          <w:rFonts w:ascii="Calibri" w:hAnsi="Calibri" w:cs="Calibri"/>
        </w:rPr>
      </w:pPr>
    </w:p>
    <w:tbl>
      <w:tblPr>
        <w:tblW w:w="9160" w:type="dxa"/>
        <w:tblInd w:w="93" w:type="dxa"/>
        <w:tblLook w:val="04A0" w:firstRow="1" w:lastRow="0" w:firstColumn="1" w:lastColumn="0" w:noHBand="0" w:noVBand="1"/>
      </w:tblPr>
      <w:tblGrid>
        <w:gridCol w:w="960"/>
        <w:gridCol w:w="2380"/>
        <w:gridCol w:w="4860"/>
        <w:gridCol w:w="960"/>
      </w:tblGrid>
      <w:tr w:rsidR="00BB7F51" w:rsidRPr="0075618C" w14:paraId="1DEA3A37" w14:textId="77777777" w:rsidTr="00BB7F51">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1AAB70" w14:textId="77777777" w:rsidR="00BB7F51" w:rsidRPr="0075618C" w:rsidRDefault="00BB7F51" w:rsidP="00ED27F7">
            <w:pPr>
              <w:jc w:val="center"/>
              <w:rPr>
                <w:rFonts w:ascii="Calibri" w:eastAsia="Times New Roman" w:hAnsi="Calibri" w:cs="Calibri"/>
                <w:b/>
                <w:bCs/>
                <w:color w:val="3F3F3F"/>
                <w:sz w:val="22"/>
                <w:szCs w:val="22"/>
                <w:lang w:eastAsia="en-GB"/>
              </w:rPr>
            </w:pPr>
            <w:r w:rsidRPr="0075618C">
              <w:rPr>
                <w:rFonts w:ascii="Calibri" w:eastAsia="Times New Roman" w:hAnsi="Calibri" w:cs="Calibri"/>
                <w:b/>
                <w:bCs/>
                <w:color w:val="3F3F3F"/>
                <w:sz w:val="22"/>
                <w:szCs w:val="22"/>
                <w:lang w:eastAsia="en-GB"/>
              </w:rPr>
              <w:t xml:space="preserve">Section 7 </w:t>
            </w:r>
          </w:p>
        </w:tc>
        <w:tc>
          <w:tcPr>
            <w:tcW w:w="820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B2FA56D" w14:textId="77777777" w:rsidR="00BB7F51" w:rsidRPr="0075618C" w:rsidRDefault="00BB7F51" w:rsidP="00ED27F7">
            <w:pPr>
              <w:rPr>
                <w:rFonts w:ascii="Calibri" w:eastAsia="Times New Roman" w:hAnsi="Calibri" w:cs="Calibri"/>
                <w:b/>
                <w:bCs/>
                <w:color w:val="3F3F3F"/>
                <w:sz w:val="22"/>
                <w:szCs w:val="22"/>
                <w:lang w:eastAsia="en-GB"/>
              </w:rPr>
            </w:pPr>
            <w:r w:rsidRPr="0075618C">
              <w:rPr>
                <w:rFonts w:ascii="Calibri" w:eastAsia="Times New Roman" w:hAnsi="Calibri" w:cs="Calibri"/>
                <w:b/>
                <w:bCs/>
                <w:color w:val="3F3F3F"/>
                <w:sz w:val="22"/>
                <w:szCs w:val="22"/>
                <w:lang w:eastAsia="en-GB"/>
              </w:rPr>
              <w:t xml:space="preserve">Modern Slavery Act 2015: Requirements under Modern Slavery Act 2015 </w:t>
            </w:r>
            <w:r w:rsidRPr="0075618C">
              <w:rPr>
                <w:rStyle w:val="FootnoteReference"/>
                <w:rFonts w:ascii="Calibri" w:eastAsia="Times New Roman" w:hAnsi="Calibri" w:cs="Calibri"/>
                <w:color w:val="3F3F3F"/>
                <w:sz w:val="22"/>
                <w:szCs w:val="22"/>
                <w:lang w:eastAsia="en-GB"/>
              </w:rPr>
              <w:footnoteReference w:id="1"/>
            </w:r>
          </w:p>
        </w:tc>
      </w:tr>
      <w:tr w:rsidR="00BB7F51" w:rsidRPr="0075618C" w14:paraId="4B18FBE0" w14:textId="77777777" w:rsidTr="00BB7F51">
        <w:trPr>
          <w:trHeight w:val="510"/>
        </w:trPr>
        <w:tc>
          <w:tcPr>
            <w:tcW w:w="960"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DC80DF2" w14:textId="77777777" w:rsidR="00BB7F51" w:rsidRPr="0075618C" w:rsidRDefault="00BB7F51" w:rsidP="00ED27F7">
            <w:pPr>
              <w:jc w:val="center"/>
              <w:rPr>
                <w:rFonts w:ascii="Calibri" w:eastAsia="Times New Roman" w:hAnsi="Calibri" w:cs="Calibri"/>
                <w:b/>
                <w:bCs/>
                <w:color w:val="3F3F3F"/>
                <w:sz w:val="22"/>
                <w:szCs w:val="22"/>
                <w:lang w:eastAsia="en-GB"/>
              </w:rPr>
            </w:pPr>
            <w:r w:rsidRPr="0075618C">
              <w:rPr>
                <w:rFonts w:ascii="Calibri" w:eastAsia="Times New Roman" w:hAnsi="Calibri" w:cs="Calibri"/>
                <w:b/>
                <w:bCs/>
                <w:color w:val="3F3F3F"/>
                <w:sz w:val="22"/>
                <w:szCs w:val="22"/>
                <w:lang w:eastAsia="en-GB"/>
              </w:rPr>
              <w:t>7.1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CBDF12" w14:textId="77777777" w:rsidR="00BB7F51" w:rsidRPr="0075618C" w:rsidRDefault="00BB7F51" w:rsidP="00ED27F7">
            <w:pPr>
              <w:rPr>
                <w:rFonts w:ascii="Calibri" w:eastAsia="Times New Roman" w:hAnsi="Calibri" w:cs="Calibri"/>
                <w:color w:val="222222"/>
                <w:sz w:val="22"/>
                <w:szCs w:val="22"/>
                <w:lang w:eastAsia="en-GB"/>
              </w:rPr>
            </w:pPr>
            <w:r w:rsidRPr="0075618C">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 Act")? Which means do you operate at all within 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14:paraId="2E398D6E"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Calibri" w:eastAsia="Times New Roman" w:hAnsi="Calibri" w:cs="Calibri"/>
                <w:b/>
                <w:bCs/>
                <w:color w:val="000000"/>
                <w:sz w:val="22"/>
                <w:szCs w:val="22"/>
                <w:lang w:eastAsia="en-GB"/>
              </w:rPr>
              <w:t>Yes</w:t>
            </w:r>
          </w:p>
          <w:sdt>
            <w:sdtPr>
              <w:rPr>
                <w:rFonts w:ascii="Calibri" w:eastAsia="Times New Roman" w:hAnsi="Calibri" w:cs="Calibri"/>
                <w:b/>
                <w:bCs/>
                <w:color w:val="000000"/>
                <w:sz w:val="22"/>
                <w:szCs w:val="22"/>
                <w:lang w:eastAsia="en-GB"/>
              </w:rPr>
              <w:id w:val="1333948522"/>
              <w14:checkbox>
                <w14:checked w14:val="0"/>
                <w14:checkedState w14:val="2612" w14:font="MS Gothic"/>
                <w14:uncheckedState w14:val="2610" w14:font="MS Gothic"/>
              </w14:checkbox>
            </w:sdtPr>
            <w:sdtContent>
              <w:p w14:paraId="70F39145"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MS Gothic" w:eastAsia="MS Gothic" w:hAnsi="MS Gothic" w:cs="Calibri" w:hint="eastAsia"/>
                    <w:b/>
                    <w:bCs/>
                    <w:color w:val="000000"/>
                    <w:sz w:val="22"/>
                    <w:szCs w:val="22"/>
                    <w:lang w:eastAsia="en-GB"/>
                  </w:rPr>
                  <w:t>☐</w:t>
                </w:r>
              </w:p>
            </w:sdtContent>
          </w:sdt>
        </w:tc>
      </w:tr>
      <w:tr w:rsidR="00BB7F51" w:rsidRPr="0075618C" w14:paraId="087126BC" w14:textId="77777777" w:rsidTr="00BB7F51">
        <w:trPr>
          <w:trHeight w:val="510"/>
        </w:trPr>
        <w:tc>
          <w:tcPr>
            <w:tcW w:w="96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883AB4D" w14:textId="77777777" w:rsidR="00BB7F51" w:rsidRPr="0075618C" w:rsidRDefault="00BB7F51" w:rsidP="00ED27F7">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000000"/>
            </w:tcBorders>
            <w:vAlign w:val="center"/>
            <w:hideMark/>
          </w:tcPr>
          <w:p w14:paraId="0E4F642B" w14:textId="77777777" w:rsidR="00BB7F51" w:rsidRPr="0075618C" w:rsidRDefault="00BB7F51" w:rsidP="00ED27F7">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14:paraId="16C28C22"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Calibri" w:eastAsia="Times New Roman" w:hAnsi="Calibri" w:cs="Calibri"/>
                <w:b/>
                <w:bCs/>
                <w:color w:val="000000"/>
                <w:sz w:val="22"/>
                <w:szCs w:val="22"/>
                <w:lang w:eastAsia="en-GB"/>
              </w:rPr>
              <w:t>N/A</w:t>
            </w:r>
          </w:p>
          <w:sdt>
            <w:sdtPr>
              <w:rPr>
                <w:rFonts w:ascii="Calibri" w:eastAsia="Times New Roman" w:hAnsi="Calibri" w:cs="Calibri"/>
                <w:b/>
                <w:bCs/>
                <w:color w:val="000000"/>
                <w:sz w:val="22"/>
                <w:szCs w:val="22"/>
                <w:lang w:eastAsia="en-GB"/>
              </w:rPr>
              <w:id w:val="-380325321"/>
              <w14:checkbox>
                <w14:checked w14:val="0"/>
                <w14:checkedState w14:val="2612" w14:font="MS Gothic"/>
                <w14:uncheckedState w14:val="2610" w14:font="MS Gothic"/>
              </w14:checkbox>
            </w:sdtPr>
            <w:sdtContent>
              <w:p w14:paraId="4086A4E8"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MS Gothic" w:eastAsia="MS Gothic" w:hAnsi="MS Gothic" w:cs="Calibri" w:hint="eastAsia"/>
                    <w:b/>
                    <w:bCs/>
                    <w:color w:val="000000"/>
                    <w:sz w:val="22"/>
                    <w:szCs w:val="22"/>
                    <w:lang w:eastAsia="en-GB"/>
                  </w:rPr>
                  <w:t>☐</w:t>
                </w:r>
              </w:p>
            </w:sdtContent>
          </w:sdt>
        </w:tc>
      </w:tr>
      <w:tr w:rsidR="00BB7F51" w:rsidRPr="0075618C" w14:paraId="33CA0C68" w14:textId="77777777" w:rsidTr="00BB7F51">
        <w:trPr>
          <w:trHeight w:val="1230"/>
        </w:trPr>
        <w:tc>
          <w:tcPr>
            <w:tcW w:w="960" w:type="dxa"/>
            <w:vMerge w:val="restart"/>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14:paraId="77E7B497" w14:textId="77777777" w:rsidR="00BB7F51" w:rsidRPr="0075618C" w:rsidRDefault="00BB7F51" w:rsidP="00ED27F7">
            <w:pPr>
              <w:jc w:val="center"/>
              <w:rPr>
                <w:rFonts w:ascii="Calibri" w:eastAsia="Times New Roman" w:hAnsi="Calibri" w:cs="Calibri"/>
                <w:b/>
                <w:bCs/>
                <w:color w:val="3F3F3F"/>
                <w:sz w:val="22"/>
                <w:szCs w:val="22"/>
                <w:lang w:eastAsia="en-GB"/>
              </w:rPr>
            </w:pPr>
            <w:r w:rsidRPr="0075618C">
              <w:rPr>
                <w:rFonts w:ascii="Calibri" w:eastAsia="Times New Roman" w:hAnsi="Calibri" w:cs="Calibri"/>
                <w:b/>
                <w:bCs/>
                <w:color w:val="3F3F3F"/>
                <w:sz w:val="22"/>
                <w:szCs w:val="22"/>
                <w:lang w:eastAsia="en-GB"/>
              </w:rPr>
              <w:t>7.2</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7EAD6" w14:textId="77777777" w:rsidR="00BB7F51" w:rsidRPr="0075618C" w:rsidRDefault="00BB7F51" w:rsidP="00ED27F7">
            <w:pPr>
              <w:rPr>
                <w:rFonts w:ascii="Calibri" w:eastAsia="Times New Roman" w:hAnsi="Calibri" w:cs="Calibri"/>
                <w:sz w:val="22"/>
                <w:szCs w:val="22"/>
                <w:lang w:eastAsia="en-GB"/>
              </w:rPr>
            </w:pPr>
            <w:r w:rsidRPr="0075618C">
              <w:rPr>
                <w:rFonts w:ascii="Calibri" w:eastAsia="Times New Roman" w:hAnsi="Calibri" w:cs="Calibri"/>
                <w:sz w:val="22"/>
                <w:szCs w:val="22"/>
                <w:lang w:eastAsia="en-GB"/>
              </w:rPr>
              <w:t>If you have answered yes to question 7.1 please confirm that</w:t>
            </w:r>
          </w:p>
          <w:p w14:paraId="3DC8CF76" w14:textId="77777777" w:rsidR="00BB7F51" w:rsidRPr="0075618C" w:rsidRDefault="00BB7F51" w:rsidP="00ED27F7">
            <w:pPr>
              <w:rPr>
                <w:rFonts w:ascii="Calibri" w:eastAsia="Times New Roman" w:hAnsi="Calibri" w:cs="Calibri"/>
                <w:sz w:val="22"/>
                <w:szCs w:val="22"/>
                <w:lang w:eastAsia="en-GB"/>
              </w:rPr>
            </w:pPr>
            <w:r w:rsidRPr="0075618C">
              <w:rPr>
                <w:rFonts w:ascii="Calibri" w:eastAsia="Times New Roman" w:hAnsi="Calibri" w:cs="Calibri"/>
                <w:sz w:val="22"/>
                <w:szCs w:val="22"/>
                <w:lang w:eastAsia="en-GB"/>
              </w:rPr>
              <w:t xml:space="preserve">a) </w:t>
            </w:r>
            <w:proofErr w:type="gramStart"/>
            <w:r w:rsidRPr="0075618C">
              <w:rPr>
                <w:rFonts w:ascii="Calibri" w:eastAsia="Times New Roman" w:hAnsi="Calibri" w:cs="Calibri"/>
                <w:sz w:val="22"/>
                <w:szCs w:val="22"/>
                <w:lang w:eastAsia="en-GB"/>
              </w:rPr>
              <w:t>are</w:t>
            </w:r>
            <w:proofErr w:type="gramEnd"/>
            <w:r w:rsidRPr="0075618C">
              <w:rPr>
                <w:rFonts w:ascii="Calibri" w:eastAsia="Times New Roman" w:hAnsi="Calibri" w:cs="Calibri"/>
                <w:sz w:val="22"/>
                <w:szCs w:val="22"/>
                <w:lang w:eastAsia="en-GB"/>
              </w:rPr>
              <w:t xml:space="preserve"> you compliant with the annual reporting requirements contained within Section 54 of the Act 2015?</w:t>
            </w:r>
          </w:p>
          <w:p w14:paraId="5BCBB2CA" w14:textId="77777777" w:rsidR="00BB7F51" w:rsidRPr="0075618C" w:rsidRDefault="00BB7F51" w:rsidP="00ED27F7">
            <w:pPr>
              <w:rPr>
                <w:rFonts w:ascii="Calibri" w:eastAsia="Times New Roman" w:hAnsi="Calibri" w:cs="Calibri"/>
                <w:color w:val="222222"/>
                <w:sz w:val="22"/>
                <w:szCs w:val="22"/>
                <w:lang w:eastAsia="en-GB"/>
              </w:rPr>
            </w:pPr>
            <w:r w:rsidRPr="0075618C">
              <w:rPr>
                <w:rFonts w:ascii="Calibri" w:eastAsia="Times New Roman" w:hAnsi="Calibri" w:cs="Calibri"/>
                <w:sz w:val="22"/>
                <w:szCs w:val="22"/>
                <w:lang w:eastAsia="en-GB"/>
              </w:rPr>
              <w:t xml:space="preserve">b) Please provide the relevant URL link to enable the authority to view your full statement. </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14:paraId="3096CFD1" w14:textId="77777777" w:rsidR="00BB7F51" w:rsidRPr="0075618C" w:rsidRDefault="00BB7F51" w:rsidP="00ED27F7">
            <w:pPr>
              <w:rPr>
                <w:rFonts w:cstheme="minorHAnsi"/>
                <w:sz w:val="22"/>
                <w:szCs w:val="22"/>
              </w:rPr>
            </w:pPr>
            <w:r w:rsidRPr="0075618C">
              <w:rPr>
                <w:rFonts w:eastAsia="Times New Roman" w:cstheme="minorHAnsi"/>
                <w:color w:val="222222"/>
                <w:sz w:val="22"/>
                <w:szCs w:val="22"/>
                <w:lang w:eastAsia="en-GB"/>
              </w:rPr>
              <w:t xml:space="preserve">If Yes - </w:t>
            </w:r>
            <w:r w:rsidRPr="0075618C">
              <w:rPr>
                <w:rFonts w:cstheme="minorHAnsi"/>
                <w:sz w:val="22"/>
                <w:szCs w:val="22"/>
              </w:rPr>
              <w:t>a) Yes/No</w:t>
            </w:r>
          </w:p>
          <w:p w14:paraId="24AF5600" w14:textId="77777777" w:rsidR="00BB7F51" w:rsidRPr="0075618C" w:rsidRDefault="00BB7F51" w:rsidP="00ED27F7">
            <w:pPr>
              <w:rPr>
                <w:rFonts w:ascii="Calibri" w:eastAsia="Times New Roman" w:hAnsi="Calibri" w:cs="Calibri"/>
                <w:color w:val="222222"/>
                <w:sz w:val="22"/>
                <w:szCs w:val="22"/>
                <w:lang w:eastAsia="en-GB"/>
              </w:rPr>
            </w:pPr>
            <w:r w:rsidRPr="0075618C">
              <w:rPr>
                <w:rFonts w:cstheme="minorHAnsi"/>
                <w:sz w:val="22"/>
                <w:szCs w:val="22"/>
              </w:rPr>
              <w:t xml:space="preserve">             b) URL:</w:t>
            </w:r>
          </w:p>
        </w:tc>
        <w:tc>
          <w:tcPr>
            <w:tcW w:w="960" w:type="dxa"/>
            <w:tcBorders>
              <w:top w:val="single" w:sz="4" w:space="0" w:color="auto"/>
              <w:left w:val="nil"/>
              <w:bottom w:val="single" w:sz="4" w:space="0" w:color="auto"/>
              <w:right w:val="single" w:sz="4" w:space="0" w:color="auto"/>
            </w:tcBorders>
            <w:shd w:val="clear" w:color="auto" w:fill="auto"/>
            <w:noWrap/>
            <w:hideMark/>
          </w:tcPr>
          <w:p w14:paraId="75830601" w14:textId="77777777" w:rsidR="00BB7F51" w:rsidRPr="0075618C" w:rsidRDefault="00BB7F51" w:rsidP="00ED27F7">
            <w:pPr>
              <w:jc w:val="center"/>
              <w:rPr>
                <w:rFonts w:ascii="Calibri" w:eastAsia="Times New Roman" w:hAnsi="Calibri" w:cs="Calibri"/>
                <w:b/>
                <w:bCs/>
                <w:color w:val="000000"/>
                <w:sz w:val="22"/>
                <w:szCs w:val="22"/>
                <w:lang w:eastAsia="en-GB"/>
              </w:rPr>
            </w:pPr>
          </w:p>
          <w:p w14:paraId="3E8A438F"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Calibri" w:eastAsia="Times New Roman" w:hAnsi="Calibri" w:cs="Calibri"/>
                <w:b/>
                <w:bCs/>
                <w:color w:val="000000"/>
                <w:sz w:val="22"/>
                <w:szCs w:val="22"/>
                <w:lang w:eastAsia="en-GB"/>
              </w:rPr>
              <w:t>Yes</w:t>
            </w:r>
          </w:p>
          <w:sdt>
            <w:sdtPr>
              <w:rPr>
                <w:rFonts w:ascii="Calibri" w:eastAsia="Times New Roman" w:hAnsi="Calibri" w:cs="Calibri"/>
                <w:b/>
                <w:bCs/>
                <w:color w:val="000000"/>
                <w:sz w:val="22"/>
                <w:szCs w:val="22"/>
                <w:lang w:eastAsia="en-GB"/>
              </w:rPr>
              <w:id w:val="-603181164"/>
              <w14:checkbox>
                <w14:checked w14:val="0"/>
                <w14:checkedState w14:val="2612" w14:font="MS Gothic"/>
                <w14:uncheckedState w14:val="2610" w14:font="MS Gothic"/>
              </w14:checkbox>
            </w:sdtPr>
            <w:sdtContent>
              <w:p w14:paraId="594E8DB4"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MS Gothic" w:eastAsia="MS Gothic" w:hAnsi="MS Gothic" w:cs="Calibri" w:hint="eastAsia"/>
                    <w:b/>
                    <w:bCs/>
                    <w:color w:val="000000"/>
                    <w:sz w:val="22"/>
                    <w:szCs w:val="22"/>
                    <w:lang w:eastAsia="en-GB"/>
                  </w:rPr>
                  <w:t>☐</w:t>
                </w:r>
              </w:p>
            </w:sdtContent>
          </w:sdt>
          <w:p w14:paraId="359F1A8B" w14:textId="77777777" w:rsidR="00BB7F51" w:rsidRPr="0075618C" w:rsidRDefault="00BB7F51" w:rsidP="00ED27F7">
            <w:pPr>
              <w:jc w:val="center"/>
              <w:rPr>
                <w:rFonts w:ascii="Calibri" w:eastAsia="Times New Roman" w:hAnsi="Calibri" w:cs="Calibri"/>
                <w:b/>
                <w:bCs/>
                <w:color w:val="000000"/>
                <w:sz w:val="22"/>
                <w:szCs w:val="22"/>
                <w:lang w:eastAsia="en-GB"/>
              </w:rPr>
            </w:pPr>
          </w:p>
        </w:tc>
      </w:tr>
      <w:tr w:rsidR="00BB7F51" w:rsidRPr="0075618C" w14:paraId="72CE5151" w14:textId="77777777" w:rsidTr="00BB7F51">
        <w:trPr>
          <w:trHeight w:val="1590"/>
        </w:trPr>
        <w:tc>
          <w:tcPr>
            <w:tcW w:w="960" w:type="dxa"/>
            <w:vMerge/>
            <w:tcBorders>
              <w:top w:val="single" w:sz="4" w:space="0" w:color="auto"/>
              <w:left w:val="single" w:sz="4" w:space="0" w:color="3F3F3F"/>
              <w:bottom w:val="single" w:sz="4" w:space="0" w:color="3F3F3F"/>
              <w:right w:val="nil"/>
            </w:tcBorders>
            <w:shd w:val="clear" w:color="auto" w:fill="BFBFBF" w:themeFill="background1" w:themeFillShade="BF"/>
            <w:vAlign w:val="center"/>
            <w:hideMark/>
          </w:tcPr>
          <w:p w14:paraId="694AB750" w14:textId="77777777" w:rsidR="00BB7F51" w:rsidRPr="0075618C" w:rsidRDefault="00BB7F51" w:rsidP="00ED27F7">
            <w:pPr>
              <w:rPr>
                <w:rFonts w:ascii="Calibri" w:eastAsia="Times New Roman" w:hAnsi="Calibri" w:cs="Calibri"/>
                <w:b/>
                <w:bCs/>
                <w:color w:val="3F3F3F"/>
                <w:sz w:val="22"/>
                <w:szCs w:val="22"/>
                <w:lang w:eastAsia="en-GB"/>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14:paraId="7267677A" w14:textId="77777777" w:rsidR="00BB7F51" w:rsidRPr="0075618C" w:rsidRDefault="00BB7F51" w:rsidP="00ED27F7">
            <w:pPr>
              <w:rPr>
                <w:rFonts w:ascii="Calibri" w:eastAsia="Times New Roman" w:hAnsi="Calibri" w:cs="Calibri"/>
                <w:color w:val="222222"/>
                <w:sz w:val="22"/>
                <w:szCs w:val="22"/>
                <w:lang w:eastAsia="en-GB"/>
              </w:rPr>
            </w:pP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03F9B759" w14:textId="77777777" w:rsidR="00BB7F51" w:rsidRPr="0075618C" w:rsidRDefault="00BB7F51" w:rsidP="00ED27F7">
            <w:pPr>
              <w:rPr>
                <w:rFonts w:ascii="Calibri" w:eastAsia="Times New Roman" w:hAnsi="Calibri" w:cs="Calibri"/>
                <w:color w:val="000000"/>
                <w:sz w:val="22"/>
                <w:szCs w:val="22"/>
                <w:lang w:eastAsia="en-GB"/>
              </w:rPr>
            </w:pPr>
            <w:r w:rsidRPr="0075618C">
              <w:rPr>
                <w:rFonts w:ascii="Calibri" w:eastAsia="Times New Roman" w:hAnsi="Calibri" w:cs="Calibri"/>
                <w:color w:val="000000"/>
                <w:sz w:val="22"/>
                <w:szCs w:val="22"/>
                <w:lang w:eastAsia="en-GB"/>
              </w:rPr>
              <w:t>If No - Please provide an explanation</w:t>
            </w:r>
          </w:p>
        </w:tc>
        <w:tc>
          <w:tcPr>
            <w:tcW w:w="960" w:type="dxa"/>
            <w:tcBorders>
              <w:top w:val="single" w:sz="4" w:space="0" w:color="auto"/>
              <w:left w:val="nil"/>
              <w:bottom w:val="single" w:sz="4" w:space="0" w:color="auto"/>
              <w:right w:val="single" w:sz="4" w:space="0" w:color="auto"/>
            </w:tcBorders>
            <w:shd w:val="clear" w:color="auto" w:fill="auto"/>
            <w:noWrap/>
            <w:hideMark/>
          </w:tcPr>
          <w:p w14:paraId="1DFB86E8" w14:textId="77777777" w:rsidR="00BB7F51" w:rsidRPr="0075618C" w:rsidRDefault="00BB7F51" w:rsidP="00ED27F7">
            <w:pPr>
              <w:jc w:val="center"/>
              <w:rPr>
                <w:rFonts w:ascii="Calibri" w:eastAsia="Times New Roman" w:hAnsi="Calibri" w:cs="Calibri"/>
                <w:b/>
                <w:bCs/>
                <w:color w:val="000000"/>
                <w:sz w:val="22"/>
                <w:szCs w:val="22"/>
                <w:lang w:eastAsia="en-GB"/>
              </w:rPr>
            </w:pPr>
          </w:p>
          <w:p w14:paraId="55734740"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Calibri" w:eastAsia="Times New Roman" w:hAnsi="Calibri" w:cs="Calibri"/>
                <w:b/>
                <w:bCs/>
                <w:color w:val="000000"/>
                <w:sz w:val="22"/>
                <w:szCs w:val="22"/>
                <w:lang w:eastAsia="en-GB"/>
              </w:rPr>
              <w:t>No</w:t>
            </w:r>
          </w:p>
          <w:sdt>
            <w:sdtPr>
              <w:rPr>
                <w:rFonts w:ascii="Calibri" w:eastAsia="Times New Roman" w:hAnsi="Calibri" w:cs="Calibri"/>
                <w:b/>
                <w:bCs/>
                <w:color w:val="000000"/>
                <w:sz w:val="22"/>
                <w:szCs w:val="22"/>
                <w:lang w:eastAsia="en-GB"/>
              </w:rPr>
              <w:id w:val="-365373378"/>
              <w14:checkbox>
                <w14:checked w14:val="0"/>
                <w14:checkedState w14:val="2612" w14:font="MS Gothic"/>
                <w14:uncheckedState w14:val="2610" w14:font="MS Gothic"/>
              </w14:checkbox>
            </w:sdtPr>
            <w:sdtContent>
              <w:p w14:paraId="42813B57" w14:textId="77777777" w:rsidR="00BB7F51" w:rsidRPr="0075618C" w:rsidRDefault="00BB7F51" w:rsidP="00ED27F7">
                <w:pPr>
                  <w:jc w:val="center"/>
                  <w:rPr>
                    <w:rFonts w:ascii="Calibri" w:eastAsia="Times New Roman" w:hAnsi="Calibri" w:cs="Calibri"/>
                    <w:b/>
                    <w:bCs/>
                    <w:color w:val="000000"/>
                    <w:sz w:val="22"/>
                    <w:szCs w:val="22"/>
                    <w:lang w:eastAsia="en-GB"/>
                  </w:rPr>
                </w:pPr>
                <w:r w:rsidRPr="0075618C">
                  <w:rPr>
                    <w:rFonts w:ascii="MS Gothic" w:eastAsia="MS Gothic" w:hAnsi="MS Gothic" w:cs="Calibri" w:hint="eastAsia"/>
                    <w:b/>
                    <w:bCs/>
                    <w:color w:val="000000"/>
                    <w:sz w:val="22"/>
                    <w:szCs w:val="22"/>
                    <w:lang w:eastAsia="en-GB"/>
                  </w:rPr>
                  <w:t>☐</w:t>
                </w:r>
              </w:p>
            </w:sdtContent>
          </w:sdt>
        </w:tc>
      </w:tr>
    </w:tbl>
    <w:p w14:paraId="1163A075" w14:textId="77777777" w:rsidR="00BB7F51" w:rsidRDefault="00BB7F51" w:rsidP="00BB7F51">
      <w:pPr>
        <w:rPr>
          <w:rFonts w:ascii="Calibri" w:hAnsi="Calibri" w:cs="Calibri"/>
        </w:rPr>
      </w:pPr>
    </w:p>
    <w:p w14:paraId="39FD5EC0" w14:textId="77777777" w:rsidR="00432CA2" w:rsidRPr="006437CD" w:rsidRDefault="00432CA2" w:rsidP="00432CA2">
      <w:pPr>
        <w:pStyle w:val="ListParagraph"/>
        <w:rPr>
          <w:rFonts w:ascii="Calibri" w:hAnsi="Calibri" w:cs="Calibri"/>
          <w:sz w:val="20"/>
          <w:szCs w:val="20"/>
        </w:rPr>
      </w:pPr>
    </w:p>
    <w:tbl>
      <w:tblPr>
        <w:tblW w:w="0" w:type="dxa"/>
        <w:tblInd w:w="-5" w:type="dxa"/>
        <w:tblCellMar>
          <w:left w:w="0" w:type="dxa"/>
          <w:right w:w="0" w:type="dxa"/>
        </w:tblCellMar>
        <w:tblLook w:val="04A0" w:firstRow="1" w:lastRow="0" w:firstColumn="1" w:lastColumn="0" w:noHBand="0" w:noVBand="1"/>
      </w:tblPr>
      <w:tblGrid>
        <w:gridCol w:w="803"/>
        <w:gridCol w:w="6793"/>
        <w:gridCol w:w="706"/>
        <w:gridCol w:w="709"/>
      </w:tblGrid>
      <w:tr w:rsidR="00027556" w:rsidRPr="006437CD" w14:paraId="60A99295" w14:textId="77777777" w:rsidTr="00311205">
        <w:tc>
          <w:tcPr>
            <w:tcW w:w="9215"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28CF68" w14:textId="77777777" w:rsidR="00027556" w:rsidRPr="006437CD" w:rsidRDefault="00027556" w:rsidP="00027556">
            <w:pPr>
              <w:autoSpaceDE w:val="0"/>
              <w:autoSpaceDN w:val="0"/>
              <w:rPr>
                <w:rFonts w:ascii="Calibri" w:hAnsi="Calibri" w:cs="Calibri"/>
                <w:b/>
                <w:bCs/>
                <w:lang w:eastAsia="en-GB"/>
              </w:rPr>
            </w:pPr>
            <w:r w:rsidRPr="006437CD">
              <w:rPr>
                <w:rFonts w:ascii="Calibri" w:hAnsi="Calibri" w:cs="Calibri"/>
                <w:b/>
                <w:bCs/>
                <w:lang w:eastAsia="en-GB"/>
              </w:rPr>
              <w:t xml:space="preserve">8.5 Equality outcomes and </w:t>
            </w:r>
            <w:hyperlink r:id="rId39" w:history="1">
              <w:r w:rsidRPr="006437CD">
                <w:rPr>
                  <w:rStyle w:val="Hyperlink"/>
                  <w:rFonts w:ascii="Calibri" w:hAnsi="Calibri" w:cs="Calibri"/>
                  <w:color w:val="2D08E8"/>
                  <w:lang w:eastAsia="en-GB"/>
                </w:rPr>
                <w:t>The Equality Act 2010</w:t>
              </w:r>
            </w:hyperlink>
          </w:p>
        </w:tc>
      </w:tr>
      <w:tr w:rsidR="00027556" w:rsidRPr="006437CD" w14:paraId="38D91A1D" w14:textId="77777777" w:rsidTr="00311205">
        <w:tc>
          <w:tcPr>
            <w:tcW w:w="921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95B1B" w14:textId="77777777" w:rsidR="00027556" w:rsidRPr="006437CD" w:rsidRDefault="00233EB0" w:rsidP="00027556">
            <w:pPr>
              <w:rPr>
                <w:rFonts w:ascii="Calibri" w:hAnsi="Calibri" w:cs="Calibri"/>
                <w:lang w:eastAsia="en-GB"/>
              </w:rPr>
            </w:pPr>
            <w:hyperlink r:id="rId40" w:history="1">
              <w:r w:rsidR="00027556" w:rsidRPr="006437CD">
                <w:rPr>
                  <w:rStyle w:val="Hyperlink"/>
                  <w:rFonts w:ascii="Calibri" w:hAnsi="Calibri" w:cs="Calibri"/>
                  <w:lang w:eastAsia="en-GB"/>
                </w:rPr>
                <w:t>The Oxford City Council Equality, Diversity and Inclusion Strategy, March 2022</w:t>
              </w:r>
            </w:hyperlink>
            <w:r w:rsidR="00027556" w:rsidRPr="006437CD">
              <w:rPr>
                <w:rStyle w:val="Hyperlink"/>
                <w:rFonts w:ascii="Calibri" w:hAnsi="Calibri" w:cs="Calibri"/>
                <w:lang w:eastAsia="en-GB"/>
              </w:rPr>
              <w:t xml:space="preserve"> </w:t>
            </w:r>
            <w:r w:rsidR="00027556" w:rsidRPr="006437CD">
              <w:rPr>
                <w:rFonts w:ascii="Calibri" w:hAnsi="Calibri" w:cs="Calibri"/>
                <w:b/>
                <w:bCs/>
                <w:lang w:eastAsia="en-GB"/>
              </w:rPr>
              <w:t xml:space="preserve">provides a framework for how procurement can adapt its supply chain initiatives to meet equality criteria as enshrined in the Equality Act 2010 and the Oxford City Council EDI Strategy. </w:t>
            </w:r>
          </w:p>
        </w:tc>
      </w:tr>
      <w:tr w:rsidR="00027556" w:rsidRPr="006437CD" w14:paraId="4275C6A5" w14:textId="77777777" w:rsidTr="00311205">
        <w:tc>
          <w:tcPr>
            <w:tcW w:w="8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BCB954F" w14:textId="77777777" w:rsidR="00027556" w:rsidRPr="006437CD" w:rsidRDefault="00027556" w:rsidP="00027556">
            <w:pPr>
              <w:autoSpaceDE w:val="0"/>
              <w:autoSpaceDN w:val="0"/>
              <w:rPr>
                <w:rFonts w:ascii="Calibri" w:hAnsi="Calibri" w:cs="Calibri"/>
                <w:lang w:eastAsia="en-GB"/>
              </w:rPr>
            </w:pPr>
            <w:r w:rsidRPr="006437CD">
              <w:rPr>
                <w:rFonts w:ascii="Calibri" w:hAnsi="Calibri" w:cs="Calibri"/>
                <w:lang w:eastAsia="en-GB"/>
              </w:rPr>
              <w:t>a.</w:t>
            </w:r>
          </w:p>
        </w:tc>
        <w:tc>
          <w:tcPr>
            <w:tcW w:w="6968" w:type="dxa"/>
            <w:tcBorders>
              <w:top w:val="nil"/>
              <w:left w:val="nil"/>
              <w:bottom w:val="single" w:sz="8" w:space="0" w:color="auto"/>
              <w:right w:val="single" w:sz="8" w:space="0" w:color="auto"/>
            </w:tcBorders>
            <w:tcMar>
              <w:top w:w="0" w:type="dxa"/>
              <w:left w:w="108" w:type="dxa"/>
              <w:bottom w:w="0" w:type="dxa"/>
              <w:right w:w="108" w:type="dxa"/>
            </w:tcMar>
            <w:hideMark/>
          </w:tcPr>
          <w:p w14:paraId="4C2C028A" w14:textId="77777777" w:rsidR="00027556" w:rsidRPr="006437CD" w:rsidRDefault="00027556" w:rsidP="00027556">
            <w:pPr>
              <w:autoSpaceDE w:val="0"/>
              <w:autoSpaceDN w:val="0"/>
              <w:spacing w:after="120"/>
              <w:rPr>
                <w:rFonts w:ascii="Calibri" w:hAnsi="Calibri" w:cs="Calibri"/>
                <w:lang w:eastAsia="en-GB"/>
              </w:rPr>
            </w:pPr>
            <w:r w:rsidRPr="006437CD">
              <w:rPr>
                <w:rFonts w:ascii="Calibri" w:hAnsi="Calibri" w:cs="Calibri"/>
                <w:lang w:eastAsia="en-GB"/>
              </w:rPr>
              <w:t>As an organisation, do you publish/gather gender pay-gap data and information?</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14:paraId="4F6A584D" w14:textId="77777777" w:rsidR="00027556" w:rsidRPr="006437CD" w:rsidRDefault="00027556" w:rsidP="00027556">
            <w:pPr>
              <w:autoSpaceDE w:val="0"/>
              <w:autoSpaceDN w:val="0"/>
              <w:jc w:val="center"/>
              <w:rPr>
                <w:rFonts w:ascii="Calibri" w:hAnsi="Calibri" w:cs="Calibri"/>
                <w:b/>
                <w:bCs/>
                <w:lang w:eastAsia="en-GB"/>
              </w:rPr>
            </w:pPr>
            <w:r w:rsidRPr="006437CD">
              <w:rPr>
                <w:rFonts w:ascii="Calibri" w:hAnsi="Calibri" w:cs="Calibri"/>
                <w:b/>
                <w:bCs/>
                <w:lang w:eastAsia="en-GB"/>
              </w:rPr>
              <w:t>Yes</w:t>
            </w:r>
          </w:p>
          <w:p w14:paraId="3DCA5897" w14:textId="77777777" w:rsidR="00027556" w:rsidRPr="006437CD" w:rsidRDefault="00027556" w:rsidP="00027556">
            <w:pPr>
              <w:autoSpaceDE w:val="0"/>
              <w:autoSpaceDN w:val="0"/>
              <w:jc w:val="center"/>
              <w:rPr>
                <w:rFonts w:ascii="Calibri" w:hAnsi="Calibri" w:cs="Calibri"/>
                <w:lang w:eastAsia="en-GB"/>
              </w:rPr>
            </w:pPr>
            <w:r w:rsidRPr="006437CD">
              <w:rPr>
                <w:rFonts w:ascii="Calibri" w:hAnsi="Calibri" w:cs="Calibri"/>
                <w:noProof/>
                <w:lang w:eastAsia="en-GB"/>
              </w:rPr>
              <w:drawing>
                <wp:anchor distT="0" distB="0" distL="114300" distR="114300" simplePos="0" relativeHeight="251659264" behindDoc="0" locked="0" layoutInCell="1" allowOverlap="1" wp14:anchorId="44F53BC8" wp14:editId="0F03397B">
                  <wp:simplePos x="0" y="0"/>
                  <wp:positionH relativeFrom="column">
                    <wp:posOffset>31750</wp:posOffset>
                  </wp:positionH>
                  <wp:positionV relativeFrom="paragraph">
                    <wp:posOffset>18415</wp:posOffset>
                  </wp:positionV>
                  <wp:extent cx="285750" cy="2762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pic:spPr>
                      </pic:pic>
                    </a:graphicData>
                  </a:graphic>
                  <wp14:sizeRelH relativeFrom="page">
                    <wp14:pctWidth>0</wp14:pctWidth>
                  </wp14:sizeRelH>
                  <wp14:sizeRelV relativeFrom="margin">
                    <wp14:pctHeight>0</wp14:pctHeight>
                  </wp14:sizeRelV>
                </wp:anchor>
              </w:drawing>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16B571CC" w14:textId="77777777" w:rsidR="00027556" w:rsidRPr="006437CD" w:rsidRDefault="00027556" w:rsidP="00027556">
            <w:pPr>
              <w:autoSpaceDE w:val="0"/>
              <w:autoSpaceDN w:val="0"/>
              <w:jc w:val="center"/>
              <w:rPr>
                <w:rFonts w:ascii="Calibri" w:hAnsi="Calibri" w:cs="Calibri"/>
                <w:b/>
                <w:bCs/>
                <w:lang w:eastAsia="en-GB"/>
              </w:rPr>
            </w:pPr>
            <w:r w:rsidRPr="006437CD">
              <w:rPr>
                <w:rFonts w:ascii="Calibri" w:hAnsi="Calibri" w:cs="Calibri"/>
                <w:b/>
                <w:bCs/>
                <w:lang w:eastAsia="en-GB"/>
              </w:rPr>
              <w:t>No</w:t>
            </w:r>
          </w:p>
          <w:p w14:paraId="49DB69E3" w14:textId="77777777" w:rsidR="00027556" w:rsidRPr="006437CD" w:rsidRDefault="00027556" w:rsidP="00027556">
            <w:pPr>
              <w:autoSpaceDE w:val="0"/>
              <w:autoSpaceDN w:val="0"/>
              <w:jc w:val="center"/>
              <w:rPr>
                <w:rFonts w:ascii="Calibri" w:hAnsi="Calibri" w:cs="Calibri"/>
                <w:lang w:eastAsia="en-GB"/>
              </w:rPr>
            </w:pPr>
            <w:r w:rsidRPr="006437CD">
              <w:rPr>
                <w:rFonts w:ascii="Calibri" w:hAnsi="Calibri" w:cs="Calibri"/>
                <w:noProof/>
                <w:lang w:eastAsia="en-GB"/>
              </w:rPr>
              <w:drawing>
                <wp:anchor distT="0" distB="0" distL="114300" distR="114300" simplePos="0" relativeHeight="251660288" behindDoc="0" locked="0" layoutInCell="1" allowOverlap="1" wp14:anchorId="09C0E4A6" wp14:editId="48107A4A">
                  <wp:simplePos x="0" y="0"/>
                  <wp:positionH relativeFrom="column">
                    <wp:posOffset>-9525</wp:posOffset>
                  </wp:positionH>
                  <wp:positionV relativeFrom="paragraph">
                    <wp:posOffset>18415</wp:posOffset>
                  </wp:positionV>
                  <wp:extent cx="285750" cy="276225"/>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pic:spPr>
                      </pic:pic>
                    </a:graphicData>
                  </a:graphic>
                  <wp14:sizeRelH relativeFrom="page">
                    <wp14:pctWidth>0</wp14:pctWidth>
                  </wp14:sizeRelH>
                  <wp14:sizeRelV relativeFrom="margin">
                    <wp14:pctHeight>0</wp14:pctHeight>
                  </wp14:sizeRelV>
                </wp:anchor>
              </w:drawing>
            </w:r>
          </w:p>
          <w:p w14:paraId="017A0DF3" w14:textId="77777777" w:rsidR="00027556" w:rsidRPr="006437CD" w:rsidRDefault="00027556" w:rsidP="00027556">
            <w:pPr>
              <w:autoSpaceDE w:val="0"/>
              <w:autoSpaceDN w:val="0"/>
              <w:jc w:val="center"/>
              <w:rPr>
                <w:rFonts w:ascii="Calibri" w:hAnsi="Calibri" w:cs="Calibri"/>
                <w:lang w:eastAsia="en-GB"/>
              </w:rPr>
            </w:pPr>
          </w:p>
        </w:tc>
      </w:tr>
      <w:tr w:rsidR="00027556" w:rsidRPr="006437CD" w14:paraId="3A673EFF" w14:textId="77777777" w:rsidTr="00311205">
        <w:tc>
          <w:tcPr>
            <w:tcW w:w="8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B527798" w14:textId="77777777" w:rsidR="00027556" w:rsidRPr="006437CD" w:rsidRDefault="00027556" w:rsidP="00027556">
            <w:pPr>
              <w:autoSpaceDE w:val="0"/>
              <w:autoSpaceDN w:val="0"/>
              <w:rPr>
                <w:rFonts w:ascii="Calibri" w:hAnsi="Calibri" w:cs="Calibri"/>
                <w:lang w:eastAsia="en-GB"/>
              </w:rPr>
            </w:pPr>
            <w:r w:rsidRPr="006437CD">
              <w:rPr>
                <w:rFonts w:ascii="Calibri" w:hAnsi="Calibri" w:cs="Calibri"/>
                <w:lang w:eastAsia="en-GB"/>
              </w:rPr>
              <w:t>b.</w:t>
            </w:r>
          </w:p>
        </w:tc>
        <w:tc>
          <w:tcPr>
            <w:tcW w:w="6968" w:type="dxa"/>
            <w:tcBorders>
              <w:top w:val="nil"/>
              <w:left w:val="nil"/>
              <w:bottom w:val="single" w:sz="8" w:space="0" w:color="auto"/>
              <w:right w:val="single" w:sz="8" w:space="0" w:color="auto"/>
            </w:tcBorders>
            <w:tcMar>
              <w:top w:w="0" w:type="dxa"/>
              <w:left w:w="108" w:type="dxa"/>
              <w:bottom w:w="0" w:type="dxa"/>
              <w:right w:w="108" w:type="dxa"/>
            </w:tcMar>
            <w:hideMark/>
          </w:tcPr>
          <w:p w14:paraId="65C2C461" w14:textId="77777777" w:rsidR="00027556" w:rsidRPr="006437CD" w:rsidRDefault="00027556" w:rsidP="00027556">
            <w:pPr>
              <w:autoSpaceDE w:val="0"/>
              <w:autoSpaceDN w:val="0"/>
              <w:spacing w:after="120"/>
              <w:rPr>
                <w:rFonts w:ascii="Calibri" w:hAnsi="Calibri" w:cs="Calibri"/>
                <w:lang w:eastAsia="en-GB"/>
              </w:rPr>
            </w:pPr>
            <w:r w:rsidRPr="006437CD">
              <w:rPr>
                <w:rFonts w:ascii="Calibri" w:hAnsi="Calibri" w:cs="Calibri"/>
                <w:lang w:eastAsia="en-GB"/>
              </w:rPr>
              <w:t>Do you provide work-place adjustments for staff with disability (as defined in the Equality Act 2010) such as mobility requirements, technological support, etc.</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14:paraId="7BF4A5FC" w14:textId="77777777" w:rsidR="00027556" w:rsidRPr="006437CD" w:rsidRDefault="00027556" w:rsidP="00027556">
            <w:pPr>
              <w:autoSpaceDE w:val="0"/>
              <w:autoSpaceDN w:val="0"/>
              <w:jc w:val="center"/>
              <w:rPr>
                <w:rFonts w:ascii="Calibri" w:hAnsi="Calibri" w:cs="Calibri"/>
                <w:b/>
                <w:bCs/>
                <w:lang w:eastAsia="en-GB"/>
              </w:rPr>
            </w:pPr>
            <w:r w:rsidRPr="006437CD">
              <w:rPr>
                <w:rFonts w:ascii="Calibri" w:hAnsi="Calibri" w:cs="Calibri"/>
                <w:b/>
                <w:bCs/>
                <w:lang w:eastAsia="en-GB"/>
              </w:rPr>
              <w:t>Yes</w:t>
            </w:r>
          </w:p>
          <w:p w14:paraId="7390B233" w14:textId="77777777" w:rsidR="00027556" w:rsidRPr="006437CD" w:rsidRDefault="00027556" w:rsidP="00027556">
            <w:pPr>
              <w:autoSpaceDE w:val="0"/>
              <w:autoSpaceDN w:val="0"/>
              <w:jc w:val="center"/>
              <w:rPr>
                <w:rFonts w:ascii="Calibri" w:hAnsi="Calibri" w:cs="Calibri"/>
                <w:lang w:eastAsia="en-GB"/>
              </w:rPr>
            </w:pPr>
            <w:r w:rsidRPr="006437CD">
              <w:rPr>
                <w:rFonts w:ascii="Calibri" w:hAnsi="Calibri" w:cs="Calibri"/>
                <w:noProof/>
                <w:lang w:eastAsia="en-GB"/>
              </w:rPr>
              <w:drawing>
                <wp:anchor distT="0" distB="0" distL="114300" distR="114300" simplePos="0" relativeHeight="251661312" behindDoc="0" locked="0" layoutInCell="1" allowOverlap="1" wp14:anchorId="3B303563" wp14:editId="437CDBE6">
                  <wp:simplePos x="0" y="0"/>
                  <wp:positionH relativeFrom="column">
                    <wp:posOffset>31750</wp:posOffset>
                  </wp:positionH>
                  <wp:positionV relativeFrom="paragraph">
                    <wp:posOffset>18415</wp:posOffset>
                  </wp:positionV>
                  <wp:extent cx="285750" cy="276225"/>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pic:spPr>
                      </pic:pic>
                    </a:graphicData>
                  </a:graphic>
                  <wp14:sizeRelH relativeFrom="page">
                    <wp14:pctWidth>0</wp14:pctWidth>
                  </wp14:sizeRelH>
                  <wp14:sizeRelV relativeFrom="margin">
                    <wp14:pctHeight>0</wp14:pctHeight>
                  </wp14:sizeRelV>
                </wp:anchor>
              </w:drawing>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11113FE6" w14:textId="77777777" w:rsidR="00027556" w:rsidRPr="006437CD" w:rsidRDefault="00027556" w:rsidP="00027556">
            <w:pPr>
              <w:autoSpaceDE w:val="0"/>
              <w:autoSpaceDN w:val="0"/>
              <w:jc w:val="center"/>
              <w:rPr>
                <w:rFonts w:ascii="Calibri" w:hAnsi="Calibri" w:cs="Calibri"/>
                <w:b/>
                <w:bCs/>
                <w:lang w:eastAsia="en-GB"/>
              </w:rPr>
            </w:pPr>
            <w:r w:rsidRPr="006437CD">
              <w:rPr>
                <w:rFonts w:ascii="Calibri" w:hAnsi="Calibri" w:cs="Calibri"/>
                <w:b/>
                <w:bCs/>
                <w:lang w:eastAsia="en-GB"/>
              </w:rPr>
              <w:t>No</w:t>
            </w:r>
          </w:p>
          <w:p w14:paraId="5DCD0749" w14:textId="77777777" w:rsidR="00027556" w:rsidRPr="006437CD" w:rsidRDefault="00027556" w:rsidP="00027556">
            <w:pPr>
              <w:autoSpaceDE w:val="0"/>
              <w:autoSpaceDN w:val="0"/>
              <w:jc w:val="center"/>
              <w:rPr>
                <w:rFonts w:ascii="Calibri" w:hAnsi="Calibri" w:cs="Calibri"/>
                <w:lang w:eastAsia="en-GB"/>
              </w:rPr>
            </w:pPr>
            <w:r w:rsidRPr="006437CD">
              <w:rPr>
                <w:rFonts w:ascii="Calibri" w:hAnsi="Calibri" w:cs="Calibri"/>
                <w:noProof/>
                <w:lang w:eastAsia="en-GB"/>
              </w:rPr>
              <w:drawing>
                <wp:anchor distT="0" distB="0" distL="114300" distR="114300" simplePos="0" relativeHeight="251662336" behindDoc="0" locked="0" layoutInCell="1" allowOverlap="1" wp14:anchorId="280CE497" wp14:editId="11AA4D20">
                  <wp:simplePos x="0" y="0"/>
                  <wp:positionH relativeFrom="column">
                    <wp:posOffset>-9525</wp:posOffset>
                  </wp:positionH>
                  <wp:positionV relativeFrom="paragraph">
                    <wp:posOffset>18415</wp:posOffset>
                  </wp:positionV>
                  <wp:extent cx="285750" cy="276225"/>
                  <wp:effectExtent l="0" t="0" r="0"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pic:spPr>
                      </pic:pic>
                    </a:graphicData>
                  </a:graphic>
                  <wp14:sizeRelH relativeFrom="page">
                    <wp14:pctWidth>0</wp14:pctWidth>
                  </wp14:sizeRelH>
                  <wp14:sizeRelV relativeFrom="margin">
                    <wp14:pctHeight>0</wp14:pctHeight>
                  </wp14:sizeRelV>
                </wp:anchor>
              </w:drawing>
            </w:r>
          </w:p>
          <w:p w14:paraId="1D9D6638" w14:textId="77777777" w:rsidR="00027556" w:rsidRPr="006437CD" w:rsidRDefault="00027556" w:rsidP="00027556">
            <w:pPr>
              <w:autoSpaceDE w:val="0"/>
              <w:autoSpaceDN w:val="0"/>
              <w:jc w:val="center"/>
              <w:rPr>
                <w:rFonts w:ascii="Calibri" w:hAnsi="Calibri" w:cs="Calibri"/>
                <w:lang w:eastAsia="en-GB"/>
              </w:rPr>
            </w:pPr>
          </w:p>
        </w:tc>
      </w:tr>
      <w:tr w:rsidR="00027556" w:rsidRPr="006437CD" w14:paraId="3EC25991" w14:textId="77777777" w:rsidTr="00311205">
        <w:tc>
          <w:tcPr>
            <w:tcW w:w="8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5E88F82" w14:textId="77777777" w:rsidR="00027556" w:rsidRPr="006437CD" w:rsidRDefault="00027556" w:rsidP="00027556">
            <w:pPr>
              <w:autoSpaceDE w:val="0"/>
              <w:autoSpaceDN w:val="0"/>
              <w:rPr>
                <w:rFonts w:ascii="Calibri" w:hAnsi="Calibri" w:cs="Calibri"/>
                <w:lang w:eastAsia="en-GB"/>
              </w:rPr>
            </w:pPr>
            <w:r w:rsidRPr="006437CD">
              <w:rPr>
                <w:rFonts w:ascii="Calibri" w:hAnsi="Calibri" w:cs="Calibri"/>
                <w:lang w:eastAsia="en-GB"/>
              </w:rPr>
              <w:t>c.</w:t>
            </w:r>
          </w:p>
        </w:tc>
        <w:tc>
          <w:tcPr>
            <w:tcW w:w="6968" w:type="dxa"/>
            <w:tcBorders>
              <w:top w:val="nil"/>
              <w:left w:val="nil"/>
              <w:bottom w:val="single" w:sz="8" w:space="0" w:color="auto"/>
              <w:right w:val="single" w:sz="8" w:space="0" w:color="auto"/>
            </w:tcBorders>
            <w:tcMar>
              <w:top w:w="0" w:type="dxa"/>
              <w:left w:w="108" w:type="dxa"/>
              <w:bottom w:w="0" w:type="dxa"/>
              <w:right w:w="108" w:type="dxa"/>
            </w:tcMar>
            <w:hideMark/>
          </w:tcPr>
          <w:p w14:paraId="65D64404" w14:textId="77777777" w:rsidR="00027556" w:rsidRPr="006437CD" w:rsidRDefault="00027556" w:rsidP="00027556">
            <w:pPr>
              <w:autoSpaceDE w:val="0"/>
              <w:autoSpaceDN w:val="0"/>
              <w:spacing w:after="120"/>
              <w:rPr>
                <w:rFonts w:ascii="Calibri" w:hAnsi="Calibri" w:cs="Calibri"/>
                <w:i/>
                <w:iCs/>
                <w:lang w:eastAsia="en-GB"/>
              </w:rPr>
            </w:pPr>
            <w:r w:rsidRPr="006437CD">
              <w:rPr>
                <w:rFonts w:ascii="Calibri" w:hAnsi="Calibri" w:cs="Calibri"/>
                <w:lang w:eastAsia="en-GB"/>
              </w:rPr>
              <w:t>Do you have process in place that monitors and responds to complaints related to discrimination?</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14:paraId="67FC4CD4" w14:textId="77777777" w:rsidR="00027556" w:rsidRPr="006437CD" w:rsidRDefault="00027556" w:rsidP="00027556">
            <w:pPr>
              <w:autoSpaceDE w:val="0"/>
              <w:autoSpaceDN w:val="0"/>
              <w:jc w:val="center"/>
              <w:rPr>
                <w:rFonts w:ascii="Calibri" w:hAnsi="Calibri" w:cs="Calibri"/>
                <w:b/>
                <w:bCs/>
                <w:lang w:eastAsia="en-GB"/>
              </w:rPr>
            </w:pPr>
            <w:r w:rsidRPr="006437CD">
              <w:rPr>
                <w:rFonts w:ascii="Calibri" w:hAnsi="Calibri" w:cs="Calibri"/>
                <w:b/>
                <w:bCs/>
                <w:lang w:eastAsia="en-GB"/>
              </w:rPr>
              <w:t>Yes</w:t>
            </w:r>
          </w:p>
          <w:p w14:paraId="551C5920" w14:textId="77777777" w:rsidR="00027556" w:rsidRPr="006437CD" w:rsidRDefault="00027556" w:rsidP="00027556">
            <w:pPr>
              <w:autoSpaceDE w:val="0"/>
              <w:autoSpaceDN w:val="0"/>
              <w:jc w:val="center"/>
              <w:rPr>
                <w:rFonts w:ascii="Calibri" w:hAnsi="Calibri" w:cs="Calibri"/>
                <w:lang w:eastAsia="en-GB"/>
              </w:rPr>
            </w:pPr>
            <w:r w:rsidRPr="006437CD">
              <w:rPr>
                <w:rFonts w:ascii="Calibri" w:hAnsi="Calibri" w:cs="Calibri"/>
                <w:noProof/>
                <w:lang w:eastAsia="en-GB"/>
              </w:rPr>
              <w:drawing>
                <wp:anchor distT="0" distB="0" distL="114300" distR="114300" simplePos="0" relativeHeight="251663360" behindDoc="0" locked="0" layoutInCell="1" allowOverlap="1" wp14:anchorId="4D5D770D" wp14:editId="15AD10EE">
                  <wp:simplePos x="0" y="0"/>
                  <wp:positionH relativeFrom="column">
                    <wp:posOffset>31750</wp:posOffset>
                  </wp:positionH>
                  <wp:positionV relativeFrom="paragraph">
                    <wp:posOffset>18415</wp:posOffset>
                  </wp:positionV>
                  <wp:extent cx="285750" cy="276225"/>
                  <wp:effectExtent l="0" t="0" r="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pic:spPr>
                      </pic:pic>
                    </a:graphicData>
                  </a:graphic>
                  <wp14:sizeRelH relativeFrom="page">
                    <wp14:pctWidth>0</wp14:pctWidth>
                  </wp14:sizeRelH>
                  <wp14:sizeRelV relativeFrom="margin">
                    <wp14:pctHeight>0</wp14:pctHeight>
                  </wp14:sizeRelV>
                </wp:anchor>
              </w:drawing>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3B9400FC" w14:textId="77777777" w:rsidR="00027556" w:rsidRPr="006437CD" w:rsidRDefault="00027556" w:rsidP="00027556">
            <w:pPr>
              <w:autoSpaceDE w:val="0"/>
              <w:autoSpaceDN w:val="0"/>
              <w:jc w:val="center"/>
              <w:rPr>
                <w:rFonts w:ascii="Calibri" w:hAnsi="Calibri" w:cs="Calibri"/>
                <w:b/>
                <w:bCs/>
                <w:lang w:eastAsia="en-GB"/>
              </w:rPr>
            </w:pPr>
            <w:r w:rsidRPr="006437CD">
              <w:rPr>
                <w:rFonts w:ascii="Calibri" w:hAnsi="Calibri" w:cs="Calibri"/>
                <w:b/>
                <w:bCs/>
                <w:lang w:eastAsia="en-GB"/>
              </w:rPr>
              <w:t>No</w:t>
            </w:r>
          </w:p>
          <w:p w14:paraId="37F68DA7" w14:textId="77777777" w:rsidR="00027556" w:rsidRPr="006437CD" w:rsidRDefault="00027556" w:rsidP="00027556">
            <w:pPr>
              <w:autoSpaceDE w:val="0"/>
              <w:autoSpaceDN w:val="0"/>
              <w:jc w:val="center"/>
              <w:rPr>
                <w:rFonts w:ascii="Calibri" w:hAnsi="Calibri" w:cs="Calibri"/>
                <w:lang w:eastAsia="en-GB"/>
              </w:rPr>
            </w:pPr>
            <w:r w:rsidRPr="006437CD">
              <w:rPr>
                <w:rFonts w:ascii="Calibri" w:hAnsi="Calibri" w:cs="Calibri"/>
                <w:noProof/>
                <w:lang w:eastAsia="en-GB"/>
              </w:rPr>
              <w:drawing>
                <wp:anchor distT="0" distB="0" distL="114300" distR="114300" simplePos="0" relativeHeight="251664384" behindDoc="0" locked="0" layoutInCell="1" allowOverlap="1" wp14:anchorId="2B6F40D2" wp14:editId="66168144">
                  <wp:simplePos x="0" y="0"/>
                  <wp:positionH relativeFrom="column">
                    <wp:posOffset>-9525</wp:posOffset>
                  </wp:positionH>
                  <wp:positionV relativeFrom="paragraph">
                    <wp:posOffset>18415</wp:posOffset>
                  </wp:positionV>
                  <wp:extent cx="285750" cy="27622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pic:spPr>
                      </pic:pic>
                    </a:graphicData>
                  </a:graphic>
                  <wp14:sizeRelH relativeFrom="page">
                    <wp14:pctWidth>0</wp14:pctWidth>
                  </wp14:sizeRelH>
                  <wp14:sizeRelV relativeFrom="margin">
                    <wp14:pctHeight>0</wp14:pctHeight>
                  </wp14:sizeRelV>
                </wp:anchor>
              </w:drawing>
            </w:r>
          </w:p>
          <w:p w14:paraId="08A50BCC" w14:textId="77777777" w:rsidR="00027556" w:rsidRPr="006437CD" w:rsidRDefault="00027556" w:rsidP="00027556">
            <w:pPr>
              <w:autoSpaceDE w:val="0"/>
              <w:autoSpaceDN w:val="0"/>
              <w:jc w:val="center"/>
              <w:rPr>
                <w:rFonts w:ascii="Calibri" w:hAnsi="Calibri" w:cs="Calibri"/>
                <w:lang w:eastAsia="en-GB"/>
              </w:rPr>
            </w:pPr>
          </w:p>
        </w:tc>
      </w:tr>
    </w:tbl>
    <w:p w14:paraId="40F2DBF4" w14:textId="77777777" w:rsidR="00027556" w:rsidRDefault="00027556" w:rsidP="00027556">
      <w:r w:rsidRPr="005D7FD2">
        <w:rPr>
          <w:bCs/>
        </w:rPr>
        <w:t xml:space="preserve">The </w:t>
      </w:r>
      <w:r w:rsidR="00311205">
        <w:rPr>
          <w:bCs/>
        </w:rPr>
        <w:t xml:space="preserve">full </w:t>
      </w:r>
      <w:r w:rsidRPr="005D7FD2">
        <w:rPr>
          <w:bCs/>
        </w:rPr>
        <w:t>Guidance document can be found on the intranet</w:t>
      </w:r>
      <w:r w:rsidR="00432CA2">
        <w:rPr>
          <w:bCs/>
        </w:rPr>
        <w:t xml:space="preserve"> </w:t>
      </w:r>
      <w:hyperlink r:id="rId45" w:history="1">
        <w:r w:rsidR="00432CA2">
          <w:rPr>
            <w:rStyle w:val="Hyperlink"/>
          </w:rPr>
          <w:t>Procurement Documents and Templates - tasks and guides</w:t>
        </w:r>
      </w:hyperlink>
    </w:p>
    <w:p w14:paraId="3FECF609" w14:textId="77777777" w:rsidR="00432CA2" w:rsidRDefault="00432CA2">
      <w:r>
        <w:br w:type="page"/>
      </w:r>
    </w:p>
    <w:p w14:paraId="00A77B4F" w14:textId="77777777" w:rsidR="007D0AC2" w:rsidRDefault="007D0AC2" w:rsidP="007D0AC2">
      <w:pPr>
        <w:pStyle w:val="Heading1"/>
        <w:rPr>
          <w:rStyle w:val="IntenseReference"/>
          <w:b w:val="0"/>
          <w:bCs w:val="0"/>
          <w:i w:val="0"/>
          <w:iCs w:val="0"/>
          <w:caps/>
          <w:color w:val="FFFFFF" w:themeColor="background1"/>
        </w:rPr>
      </w:pPr>
      <w:bookmarkStart w:id="43" w:name="_Toc117766952"/>
      <w:r w:rsidRPr="007C5C7A">
        <w:rPr>
          <w:rStyle w:val="IntenseReference"/>
          <w:b w:val="0"/>
          <w:bCs w:val="0"/>
          <w:i w:val="0"/>
          <w:iCs w:val="0"/>
          <w:caps/>
          <w:color w:val="FFFFFF" w:themeColor="background1"/>
        </w:rPr>
        <w:t xml:space="preserve">Appendix </w:t>
      </w:r>
      <w:r w:rsidR="00781F3C">
        <w:rPr>
          <w:rStyle w:val="IntenseReference"/>
          <w:b w:val="0"/>
          <w:bCs w:val="0"/>
          <w:i w:val="0"/>
          <w:iCs w:val="0"/>
          <w:caps/>
          <w:color w:val="FFFFFF" w:themeColor="background1"/>
        </w:rPr>
        <w:t xml:space="preserve">3 </w:t>
      </w:r>
      <w:r>
        <w:rPr>
          <w:rStyle w:val="IntenseReference"/>
          <w:b w:val="0"/>
          <w:bCs w:val="0"/>
          <w:i w:val="0"/>
          <w:iCs w:val="0"/>
          <w:caps/>
          <w:color w:val="FFFFFF" w:themeColor="background1"/>
        </w:rPr>
        <w:t>Key Priority Action Plan and reporting framework</w:t>
      </w:r>
      <w:bookmarkEnd w:id="43"/>
    </w:p>
    <w:p w14:paraId="3432367B" w14:textId="77777777" w:rsidR="007D0AC2" w:rsidRPr="007D0AC2" w:rsidRDefault="007D0AC2" w:rsidP="007D0AC2"/>
    <w:tbl>
      <w:tblPr>
        <w:tblStyle w:val="TableGrid"/>
        <w:tblW w:w="0" w:type="auto"/>
        <w:tblLook w:val="04A0" w:firstRow="1" w:lastRow="0" w:firstColumn="1" w:lastColumn="0" w:noHBand="0" w:noVBand="1"/>
      </w:tblPr>
      <w:tblGrid>
        <w:gridCol w:w="1838"/>
        <w:gridCol w:w="2670"/>
        <w:gridCol w:w="2254"/>
        <w:gridCol w:w="2254"/>
      </w:tblGrid>
      <w:tr w:rsidR="007D0AC2" w14:paraId="67500E17" w14:textId="77777777" w:rsidTr="00432CA2">
        <w:tc>
          <w:tcPr>
            <w:tcW w:w="1838" w:type="dxa"/>
            <w:shd w:val="clear" w:color="auto" w:fill="B5C0DF" w:themeFill="accent1" w:themeFillTint="66"/>
          </w:tcPr>
          <w:p w14:paraId="0560C9AE" w14:textId="77777777" w:rsidR="007D0AC2" w:rsidRDefault="007D0AC2" w:rsidP="002875F7">
            <w:pPr>
              <w:tabs>
                <w:tab w:val="left" w:pos="3930"/>
              </w:tabs>
            </w:pPr>
            <w:r>
              <w:t>Priority</w:t>
            </w:r>
          </w:p>
        </w:tc>
        <w:tc>
          <w:tcPr>
            <w:tcW w:w="2670" w:type="dxa"/>
            <w:shd w:val="clear" w:color="auto" w:fill="B5C0DF" w:themeFill="accent1" w:themeFillTint="66"/>
          </w:tcPr>
          <w:p w14:paraId="6D25D1A4" w14:textId="77777777" w:rsidR="007D0AC2" w:rsidRDefault="007D0AC2" w:rsidP="002875F7">
            <w:pPr>
              <w:tabs>
                <w:tab w:val="left" w:pos="3930"/>
              </w:tabs>
            </w:pPr>
            <w:r>
              <w:t>Actions to Achieve</w:t>
            </w:r>
          </w:p>
        </w:tc>
        <w:tc>
          <w:tcPr>
            <w:tcW w:w="2254" w:type="dxa"/>
            <w:shd w:val="clear" w:color="auto" w:fill="B5C0DF" w:themeFill="accent1" w:themeFillTint="66"/>
          </w:tcPr>
          <w:p w14:paraId="5EE87654" w14:textId="77777777" w:rsidR="007D0AC2" w:rsidRDefault="007D0AC2" w:rsidP="002875F7">
            <w:pPr>
              <w:tabs>
                <w:tab w:val="left" w:pos="3930"/>
              </w:tabs>
            </w:pPr>
            <w:r>
              <w:t>Timeline</w:t>
            </w:r>
          </w:p>
        </w:tc>
        <w:tc>
          <w:tcPr>
            <w:tcW w:w="2254" w:type="dxa"/>
            <w:shd w:val="clear" w:color="auto" w:fill="B5C0DF" w:themeFill="accent1" w:themeFillTint="66"/>
          </w:tcPr>
          <w:p w14:paraId="17104C69" w14:textId="77777777" w:rsidR="007D0AC2" w:rsidRDefault="00311205" w:rsidP="002875F7">
            <w:pPr>
              <w:tabs>
                <w:tab w:val="left" w:pos="3930"/>
              </w:tabs>
            </w:pPr>
            <w:r>
              <w:t>Lead Procurement Officer</w:t>
            </w:r>
          </w:p>
        </w:tc>
      </w:tr>
      <w:tr w:rsidR="008C3548" w14:paraId="65401B1D" w14:textId="77777777" w:rsidTr="007D0AC2">
        <w:tc>
          <w:tcPr>
            <w:tcW w:w="1838" w:type="dxa"/>
            <w:vMerge w:val="restart"/>
          </w:tcPr>
          <w:p w14:paraId="0539802B" w14:textId="77777777" w:rsidR="008C3548" w:rsidRDefault="008C3548" w:rsidP="002875F7">
            <w:pPr>
              <w:tabs>
                <w:tab w:val="left" w:pos="3930"/>
              </w:tabs>
            </w:pPr>
            <w:r>
              <w:t>Social Value and Climate Change</w:t>
            </w:r>
          </w:p>
        </w:tc>
        <w:tc>
          <w:tcPr>
            <w:tcW w:w="2670" w:type="dxa"/>
          </w:tcPr>
          <w:p w14:paraId="09F6B61C" w14:textId="77777777" w:rsidR="008C3548" w:rsidRDefault="008C3548" w:rsidP="002875F7">
            <w:pPr>
              <w:tabs>
                <w:tab w:val="left" w:pos="3930"/>
              </w:tabs>
            </w:pPr>
            <w:r>
              <w:t xml:space="preserve">Finalise </w:t>
            </w:r>
            <w:proofErr w:type="spellStart"/>
            <w:r>
              <w:t>OxTOMs</w:t>
            </w:r>
            <w:proofErr w:type="spellEnd"/>
          </w:p>
        </w:tc>
        <w:tc>
          <w:tcPr>
            <w:tcW w:w="2254" w:type="dxa"/>
          </w:tcPr>
          <w:p w14:paraId="58B50465" w14:textId="77777777" w:rsidR="008C3548" w:rsidRDefault="008C3548" w:rsidP="002875F7">
            <w:pPr>
              <w:tabs>
                <w:tab w:val="left" w:pos="3930"/>
              </w:tabs>
            </w:pPr>
            <w:r>
              <w:t>September 2022</w:t>
            </w:r>
          </w:p>
        </w:tc>
        <w:tc>
          <w:tcPr>
            <w:tcW w:w="2254" w:type="dxa"/>
          </w:tcPr>
          <w:p w14:paraId="337687AF" w14:textId="77777777" w:rsidR="008C3548" w:rsidRDefault="00311205" w:rsidP="002875F7">
            <w:pPr>
              <w:tabs>
                <w:tab w:val="left" w:pos="3930"/>
              </w:tabs>
            </w:pPr>
            <w:r>
              <w:t>Procurement Manager</w:t>
            </w:r>
          </w:p>
        </w:tc>
      </w:tr>
      <w:tr w:rsidR="008C3548" w14:paraId="54867541" w14:textId="77777777" w:rsidTr="007D0AC2">
        <w:tc>
          <w:tcPr>
            <w:tcW w:w="1838" w:type="dxa"/>
            <w:vMerge/>
          </w:tcPr>
          <w:p w14:paraId="675D1FDE" w14:textId="77777777" w:rsidR="008C3548" w:rsidRDefault="008C3548" w:rsidP="002875F7">
            <w:pPr>
              <w:tabs>
                <w:tab w:val="left" w:pos="3930"/>
              </w:tabs>
            </w:pPr>
          </w:p>
        </w:tc>
        <w:tc>
          <w:tcPr>
            <w:tcW w:w="2670" w:type="dxa"/>
          </w:tcPr>
          <w:p w14:paraId="7A9C7CE8" w14:textId="77777777" w:rsidR="008C3548" w:rsidRDefault="008C3548" w:rsidP="002875F7">
            <w:pPr>
              <w:tabs>
                <w:tab w:val="left" w:pos="3930"/>
              </w:tabs>
            </w:pPr>
            <w:r>
              <w:t xml:space="preserve">Brief Heads of Service and Roll out </w:t>
            </w:r>
            <w:proofErr w:type="spellStart"/>
            <w:r>
              <w:t>OxTOMs</w:t>
            </w:r>
            <w:proofErr w:type="spellEnd"/>
          </w:p>
        </w:tc>
        <w:tc>
          <w:tcPr>
            <w:tcW w:w="2254" w:type="dxa"/>
          </w:tcPr>
          <w:p w14:paraId="6070DABF" w14:textId="77777777" w:rsidR="008C3548" w:rsidRDefault="002477C3" w:rsidP="002875F7">
            <w:pPr>
              <w:tabs>
                <w:tab w:val="left" w:pos="3930"/>
              </w:tabs>
            </w:pPr>
            <w:r>
              <w:t>October 2022</w:t>
            </w:r>
          </w:p>
        </w:tc>
        <w:tc>
          <w:tcPr>
            <w:tcW w:w="2254" w:type="dxa"/>
          </w:tcPr>
          <w:p w14:paraId="6484C500" w14:textId="77777777" w:rsidR="008C3548" w:rsidRDefault="00311205" w:rsidP="002875F7">
            <w:pPr>
              <w:tabs>
                <w:tab w:val="left" w:pos="3930"/>
              </w:tabs>
            </w:pPr>
            <w:r>
              <w:t>Procurement Manager</w:t>
            </w:r>
          </w:p>
        </w:tc>
      </w:tr>
      <w:tr w:rsidR="008C3548" w14:paraId="58EB1631" w14:textId="77777777" w:rsidTr="008C3548">
        <w:tc>
          <w:tcPr>
            <w:tcW w:w="1838" w:type="dxa"/>
            <w:vMerge/>
          </w:tcPr>
          <w:p w14:paraId="454D19CD" w14:textId="77777777" w:rsidR="008C3548" w:rsidRDefault="008C3548" w:rsidP="002875F7">
            <w:pPr>
              <w:tabs>
                <w:tab w:val="left" w:pos="3930"/>
              </w:tabs>
            </w:pPr>
          </w:p>
        </w:tc>
        <w:tc>
          <w:tcPr>
            <w:tcW w:w="2670" w:type="dxa"/>
          </w:tcPr>
          <w:p w14:paraId="39E3A97C" w14:textId="77777777" w:rsidR="008C3548" w:rsidRDefault="008C3548" w:rsidP="002875F7">
            <w:pPr>
              <w:tabs>
                <w:tab w:val="left" w:pos="3930"/>
              </w:tabs>
            </w:pPr>
            <w:r>
              <w:t>Include minimum award threshold of 10% for relevant procurements</w:t>
            </w:r>
          </w:p>
        </w:tc>
        <w:tc>
          <w:tcPr>
            <w:tcW w:w="2254" w:type="dxa"/>
            <w:shd w:val="clear" w:color="auto" w:fill="00B050"/>
          </w:tcPr>
          <w:p w14:paraId="6DE9D5FB" w14:textId="77777777" w:rsidR="008C3548" w:rsidRDefault="008C3548" w:rsidP="002875F7">
            <w:pPr>
              <w:tabs>
                <w:tab w:val="left" w:pos="3930"/>
              </w:tabs>
            </w:pPr>
            <w:r>
              <w:t>In Force Now</w:t>
            </w:r>
          </w:p>
        </w:tc>
        <w:tc>
          <w:tcPr>
            <w:tcW w:w="2254" w:type="dxa"/>
          </w:tcPr>
          <w:p w14:paraId="3EC2F984" w14:textId="77777777" w:rsidR="008C3548" w:rsidRDefault="00311205" w:rsidP="002875F7">
            <w:pPr>
              <w:tabs>
                <w:tab w:val="left" w:pos="3930"/>
              </w:tabs>
            </w:pPr>
            <w:r>
              <w:t>Procurement Specialist</w:t>
            </w:r>
          </w:p>
        </w:tc>
      </w:tr>
      <w:tr w:rsidR="008C3548" w14:paraId="19850BC4" w14:textId="77777777" w:rsidTr="007D0AC2">
        <w:tc>
          <w:tcPr>
            <w:tcW w:w="1838" w:type="dxa"/>
            <w:vMerge/>
          </w:tcPr>
          <w:p w14:paraId="4DBF3C74" w14:textId="77777777" w:rsidR="008C3548" w:rsidRDefault="008C3548" w:rsidP="002875F7">
            <w:pPr>
              <w:tabs>
                <w:tab w:val="left" w:pos="3930"/>
              </w:tabs>
            </w:pPr>
          </w:p>
        </w:tc>
        <w:tc>
          <w:tcPr>
            <w:tcW w:w="2670" w:type="dxa"/>
          </w:tcPr>
          <w:p w14:paraId="3C7F0223" w14:textId="77777777" w:rsidR="008C3548" w:rsidRDefault="008C3548" w:rsidP="002875F7">
            <w:pPr>
              <w:tabs>
                <w:tab w:val="left" w:pos="3930"/>
              </w:tabs>
            </w:pPr>
            <w:r>
              <w:t>Improve Contract management and monitoring of social value and sustainability</w:t>
            </w:r>
          </w:p>
        </w:tc>
        <w:tc>
          <w:tcPr>
            <w:tcW w:w="2254" w:type="dxa"/>
          </w:tcPr>
          <w:p w14:paraId="6F81C3F1" w14:textId="77777777" w:rsidR="008C3548" w:rsidRDefault="002477C3" w:rsidP="002875F7">
            <w:pPr>
              <w:tabs>
                <w:tab w:val="left" w:pos="3930"/>
              </w:tabs>
            </w:pPr>
            <w:r>
              <w:t>January 2023</w:t>
            </w:r>
          </w:p>
        </w:tc>
        <w:tc>
          <w:tcPr>
            <w:tcW w:w="2254" w:type="dxa"/>
          </w:tcPr>
          <w:p w14:paraId="6046DC7A" w14:textId="77777777" w:rsidR="008C3548" w:rsidRDefault="00311205" w:rsidP="002875F7">
            <w:pPr>
              <w:tabs>
                <w:tab w:val="left" w:pos="3930"/>
              </w:tabs>
            </w:pPr>
            <w:r>
              <w:t>Procurement Specialist</w:t>
            </w:r>
          </w:p>
        </w:tc>
      </w:tr>
      <w:tr w:rsidR="00311205" w14:paraId="3005D008" w14:textId="77777777" w:rsidTr="007D0AC2">
        <w:tc>
          <w:tcPr>
            <w:tcW w:w="1838" w:type="dxa"/>
            <w:vMerge w:val="restart"/>
          </w:tcPr>
          <w:p w14:paraId="202110B5" w14:textId="77777777" w:rsidR="00311205" w:rsidRDefault="00311205" w:rsidP="00311205">
            <w:pPr>
              <w:tabs>
                <w:tab w:val="left" w:pos="3930"/>
              </w:tabs>
            </w:pPr>
            <w:r>
              <w:t>Deliver the procurement Portal</w:t>
            </w:r>
          </w:p>
        </w:tc>
        <w:tc>
          <w:tcPr>
            <w:tcW w:w="2670" w:type="dxa"/>
          </w:tcPr>
          <w:p w14:paraId="2F8AB391" w14:textId="77777777" w:rsidR="00311205" w:rsidRDefault="00311205" w:rsidP="00311205">
            <w:pPr>
              <w:tabs>
                <w:tab w:val="left" w:pos="3930"/>
              </w:tabs>
            </w:pPr>
            <w:r>
              <w:t>Award Contract</w:t>
            </w:r>
          </w:p>
        </w:tc>
        <w:tc>
          <w:tcPr>
            <w:tcW w:w="2254" w:type="dxa"/>
          </w:tcPr>
          <w:p w14:paraId="771783E9" w14:textId="77777777" w:rsidR="00311205" w:rsidRDefault="00311205" w:rsidP="00311205">
            <w:pPr>
              <w:tabs>
                <w:tab w:val="left" w:pos="3930"/>
              </w:tabs>
            </w:pPr>
            <w:r>
              <w:t>Autumn 2022</w:t>
            </w:r>
          </w:p>
        </w:tc>
        <w:tc>
          <w:tcPr>
            <w:tcW w:w="2254" w:type="dxa"/>
          </w:tcPr>
          <w:p w14:paraId="5C2C715C" w14:textId="77777777" w:rsidR="00311205" w:rsidRDefault="00311205" w:rsidP="00311205">
            <w:pPr>
              <w:tabs>
                <w:tab w:val="left" w:pos="3930"/>
              </w:tabs>
            </w:pPr>
            <w:r>
              <w:t>Procurement Specialist</w:t>
            </w:r>
          </w:p>
        </w:tc>
      </w:tr>
      <w:tr w:rsidR="00311205" w14:paraId="39FA275D" w14:textId="77777777" w:rsidTr="007D0AC2">
        <w:tc>
          <w:tcPr>
            <w:tcW w:w="1838" w:type="dxa"/>
            <w:vMerge/>
          </w:tcPr>
          <w:p w14:paraId="6A0A952D" w14:textId="77777777" w:rsidR="00311205" w:rsidRDefault="00311205" w:rsidP="00311205">
            <w:pPr>
              <w:tabs>
                <w:tab w:val="left" w:pos="3930"/>
              </w:tabs>
            </w:pPr>
          </w:p>
        </w:tc>
        <w:tc>
          <w:tcPr>
            <w:tcW w:w="2670" w:type="dxa"/>
          </w:tcPr>
          <w:p w14:paraId="3309CA1F" w14:textId="77777777" w:rsidR="00311205" w:rsidRDefault="00311205" w:rsidP="00311205">
            <w:pPr>
              <w:tabs>
                <w:tab w:val="left" w:pos="3930"/>
              </w:tabs>
            </w:pPr>
            <w:r>
              <w:t>Train all Buyers</w:t>
            </w:r>
          </w:p>
        </w:tc>
        <w:tc>
          <w:tcPr>
            <w:tcW w:w="2254" w:type="dxa"/>
          </w:tcPr>
          <w:p w14:paraId="199BDAE2" w14:textId="77777777" w:rsidR="00311205" w:rsidRDefault="00311205" w:rsidP="00311205">
            <w:pPr>
              <w:tabs>
                <w:tab w:val="left" w:pos="3930"/>
              </w:tabs>
            </w:pPr>
            <w:r>
              <w:t>Autumn 2022</w:t>
            </w:r>
          </w:p>
        </w:tc>
        <w:tc>
          <w:tcPr>
            <w:tcW w:w="2254" w:type="dxa"/>
          </w:tcPr>
          <w:p w14:paraId="0B28DEDB" w14:textId="77777777" w:rsidR="00311205" w:rsidRDefault="00311205" w:rsidP="00311205">
            <w:pPr>
              <w:tabs>
                <w:tab w:val="left" w:pos="3930"/>
              </w:tabs>
            </w:pPr>
            <w:r>
              <w:t>Procurement Specialist</w:t>
            </w:r>
          </w:p>
        </w:tc>
      </w:tr>
      <w:tr w:rsidR="00311205" w14:paraId="6F1B99EB" w14:textId="77777777" w:rsidTr="007D0AC2">
        <w:tc>
          <w:tcPr>
            <w:tcW w:w="1838" w:type="dxa"/>
            <w:vMerge/>
          </w:tcPr>
          <w:p w14:paraId="4CC4F047" w14:textId="77777777" w:rsidR="00311205" w:rsidRDefault="00311205" w:rsidP="00311205">
            <w:pPr>
              <w:tabs>
                <w:tab w:val="left" w:pos="3930"/>
              </w:tabs>
            </w:pPr>
          </w:p>
        </w:tc>
        <w:tc>
          <w:tcPr>
            <w:tcW w:w="2670" w:type="dxa"/>
          </w:tcPr>
          <w:p w14:paraId="3A42B74C" w14:textId="77777777" w:rsidR="00311205" w:rsidRDefault="00311205" w:rsidP="00311205">
            <w:pPr>
              <w:tabs>
                <w:tab w:val="left" w:pos="3930"/>
              </w:tabs>
            </w:pPr>
            <w:r>
              <w:t>Transfer Data from incumbent provider to New Provider</w:t>
            </w:r>
          </w:p>
        </w:tc>
        <w:tc>
          <w:tcPr>
            <w:tcW w:w="2254" w:type="dxa"/>
          </w:tcPr>
          <w:p w14:paraId="2C7EC0D8" w14:textId="77777777" w:rsidR="00311205" w:rsidRDefault="00311205" w:rsidP="00311205">
            <w:pPr>
              <w:tabs>
                <w:tab w:val="left" w:pos="3930"/>
              </w:tabs>
            </w:pPr>
            <w:r>
              <w:t>Autumn 2022</w:t>
            </w:r>
          </w:p>
        </w:tc>
        <w:tc>
          <w:tcPr>
            <w:tcW w:w="2254" w:type="dxa"/>
          </w:tcPr>
          <w:p w14:paraId="15B8D6F8" w14:textId="77777777" w:rsidR="00311205" w:rsidRDefault="00311205" w:rsidP="00311205">
            <w:pPr>
              <w:tabs>
                <w:tab w:val="left" w:pos="3930"/>
              </w:tabs>
            </w:pPr>
            <w:r>
              <w:t>Procurement Specialist</w:t>
            </w:r>
          </w:p>
        </w:tc>
      </w:tr>
      <w:tr w:rsidR="00311205" w14:paraId="169C733B" w14:textId="77777777" w:rsidTr="007D0AC2">
        <w:tc>
          <w:tcPr>
            <w:tcW w:w="1838" w:type="dxa"/>
            <w:vMerge w:val="restart"/>
          </w:tcPr>
          <w:p w14:paraId="10ECC48F" w14:textId="77777777" w:rsidR="00311205" w:rsidRDefault="00311205" w:rsidP="00311205">
            <w:pPr>
              <w:tabs>
                <w:tab w:val="left" w:pos="3930"/>
              </w:tabs>
            </w:pPr>
            <w:r>
              <w:t>Collaborative procurement</w:t>
            </w:r>
          </w:p>
        </w:tc>
        <w:tc>
          <w:tcPr>
            <w:tcW w:w="2670" w:type="dxa"/>
          </w:tcPr>
          <w:p w14:paraId="663D62E9" w14:textId="77777777" w:rsidR="00311205" w:rsidRDefault="00311205" w:rsidP="00311205">
            <w:pPr>
              <w:tabs>
                <w:tab w:val="left" w:pos="3930"/>
              </w:tabs>
            </w:pPr>
            <w:r>
              <w:t>How to tender workshops</w:t>
            </w:r>
          </w:p>
        </w:tc>
        <w:tc>
          <w:tcPr>
            <w:tcW w:w="2254" w:type="dxa"/>
          </w:tcPr>
          <w:p w14:paraId="5C0870FD" w14:textId="77777777" w:rsidR="00311205" w:rsidRDefault="00311205" w:rsidP="00311205">
            <w:pPr>
              <w:tabs>
                <w:tab w:val="left" w:pos="3930"/>
              </w:tabs>
            </w:pPr>
            <w:r>
              <w:t>November 2022 then monthly</w:t>
            </w:r>
          </w:p>
        </w:tc>
        <w:tc>
          <w:tcPr>
            <w:tcW w:w="2254" w:type="dxa"/>
          </w:tcPr>
          <w:p w14:paraId="4AE38CC6" w14:textId="77777777" w:rsidR="00311205" w:rsidRDefault="00311205" w:rsidP="00311205">
            <w:pPr>
              <w:tabs>
                <w:tab w:val="left" w:pos="3930"/>
              </w:tabs>
            </w:pPr>
            <w:r>
              <w:t>Procurement Specialist</w:t>
            </w:r>
          </w:p>
        </w:tc>
      </w:tr>
      <w:tr w:rsidR="00311205" w14:paraId="01E80997" w14:textId="77777777" w:rsidTr="007D0AC2">
        <w:tc>
          <w:tcPr>
            <w:tcW w:w="1838" w:type="dxa"/>
            <w:vMerge/>
          </w:tcPr>
          <w:p w14:paraId="0AFD561C" w14:textId="77777777" w:rsidR="00311205" w:rsidRDefault="00311205" w:rsidP="00311205">
            <w:pPr>
              <w:tabs>
                <w:tab w:val="left" w:pos="3930"/>
              </w:tabs>
            </w:pPr>
          </w:p>
        </w:tc>
        <w:tc>
          <w:tcPr>
            <w:tcW w:w="2670" w:type="dxa"/>
          </w:tcPr>
          <w:p w14:paraId="33DD2213" w14:textId="77777777" w:rsidR="00311205" w:rsidRDefault="00311205" w:rsidP="00311205">
            <w:pPr>
              <w:tabs>
                <w:tab w:val="left" w:pos="3930"/>
              </w:tabs>
            </w:pPr>
            <w:r>
              <w:t>Meet the buyer</w:t>
            </w:r>
          </w:p>
        </w:tc>
        <w:tc>
          <w:tcPr>
            <w:tcW w:w="2254" w:type="dxa"/>
          </w:tcPr>
          <w:p w14:paraId="45710BB1" w14:textId="77777777" w:rsidR="00311205" w:rsidRDefault="00311205" w:rsidP="00311205">
            <w:pPr>
              <w:tabs>
                <w:tab w:val="left" w:pos="3930"/>
              </w:tabs>
            </w:pPr>
            <w:r>
              <w:t>November 2022 the yearly</w:t>
            </w:r>
          </w:p>
        </w:tc>
        <w:tc>
          <w:tcPr>
            <w:tcW w:w="2254" w:type="dxa"/>
          </w:tcPr>
          <w:p w14:paraId="1CDA6882" w14:textId="77777777" w:rsidR="00311205" w:rsidRDefault="00311205" w:rsidP="00311205">
            <w:pPr>
              <w:tabs>
                <w:tab w:val="left" w:pos="3930"/>
              </w:tabs>
            </w:pPr>
            <w:r>
              <w:t>Procurement Specialist</w:t>
            </w:r>
          </w:p>
        </w:tc>
      </w:tr>
      <w:tr w:rsidR="00311205" w14:paraId="5FBA6280" w14:textId="77777777" w:rsidTr="008C3548">
        <w:tc>
          <w:tcPr>
            <w:tcW w:w="1838" w:type="dxa"/>
            <w:vMerge/>
          </w:tcPr>
          <w:p w14:paraId="3DC48879" w14:textId="77777777" w:rsidR="00311205" w:rsidRDefault="00311205" w:rsidP="00311205">
            <w:pPr>
              <w:tabs>
                <w:tab w:val="left" w:pos="3930"/>
              </w:tabs>
            </w:pPr>
          </w:p>
        </w:tc>
        <w:tc>
          <w:tcPr>
            <w:tcW w:w="2670" w:type="dxa"/>
          </w:tcPr>
          <w:p w14:paraId="37B460A7" w14:textId="77777777" w:rsidR="00311205" w:rsidRDefault="00311205" w:rsidP="00311205">
            <w:pPr>
              <w:tabs>
                <w:tab w:val="left" w:pos="3930"/>
              </w:tabs>
            </w:pPr>
            <w:r>
              <w:t>Working with company entities</w:t>
            </w:r>
          </w:p>
        </w:tc>
        <w:tc>
          <w:tcPr>
            <w:tcW w:w="2254" w:type="dxa"/>
            <w:shd w:val="clear" w:color="auto" w:fill="00B050"/>
          </w:tcPr>
          <w:p w14:paraId="1DECB738" w14:textId="77777777" w:rsidR="00311205" w:rsidRDefault="00311205" w:rsidP="00311205">
            <w:pPr>
              <w:tabs>
                <w:tab w:val="left" w:pos="3930"/>
              </w:tabs>
            </w:pPr>
            <w:r>
              <w:t>In Force Now</w:t>
            </w:r>
          </w:p>
        </w:tc>
        <w:tc>
          <w:tcPr>
            <w:tcW w:w="2254" w:type="dxa"/>
          </w:tcPr>
          <w:p w14:paraId="1D3D9CF0" w14:textId="77777777" w:rsidR="00311205" w:rsidRDefault="00311205" w:rsidP="00311205">
            <w:pPr>
              <w:tabs>
                <w:tab w:val="left" w:pos="3930"/>
              </w:tabs>
            </w:pPr>
            <w:r>
              <w:t>Procurement Manager</w:t>
            </w:r>
          </w:p>
        </w:tc>
      </w:tr>
      <w:tr w:rsidR="00311205" w14:paraId="152C539C" w14:textId="77777777" w:rsidTr="007D0AC2">
        <w:tc>
          <w:tcPr>
            <w:tcW w:w="1838" w:type="dxa"/>
            <w:vMerge/>
          </w:tcPr>
          <w:p w14:paraId="0C61B500" w14:textId="77777777" w:rsidR="00311205" w:rsidRDefault="00311205" w:rsidP="00311205">
            <w:pPr>
              <w:tabs>
                <w:tab w:val="left" w:pos="3930"/>
              </w:tabs>
            </w:pPr>
          </w:p>
        </w:tc>
        <w:tc>
          <w:tcPr>
            <w:tcW w:w="2670" w:type="dxa"/>
          </w:tcPr>
          <w:p w14:paraId="1B697514" w14:textId="77777777" w:rsidR="00311205" w:rsidRDefault="00311205" w:rsidP="00311205">
            <w:pPr>
              <w:tabs>
                <w:tab w:val="left" w:pos="3930"/>
              </w:tabs>
            </w:pPr>
            <w:r>
              <w:t xml:space="preserve">Industry days </w:t>
            </w:r>
          </w:p>
        </w:tc>
        <w:tc>
          <w:tcPr>
            <w:tcW w:w="2254" w:type="dxa"/>
          </w:tcPr>
          <w:p w14:paraId="37BD3CF5" w14:textId="77777777" w:rsidR="00311205" w:rsidRDefault="00311205" w:rsidP="00311205">
            <w:pPr>
              <w:tabs>
                <w:tab w:val="left" w:pos="3930"/>
              </w:tabs>
            </w:pPr>
            <w:r>
              <w:t>When required</w:t>
            </w:r>
          </w:p>
        </w:tc>
        <w:tc>
          <w:tcPr>
            <w:tcW w:w="2254" w:type="dxa"/>
          </w:tcPr>
          <w:p w14:paraId="71D861C9" w14:textId="77777777" w:rsidR="00311205" w:rsidRDefault="00311205" w:rsidP="00311205">
            <w:pPr>
              <w:tabs>
                <w:tab w:val="left" w:pos="3930"/>
              </w:tabs>
            </w:pPr>
            <w:r>
              <w:t>Procurement Specialist</w:t>
            </w:r>
          </w:p>
        </w:tc>
      </w:tr>
      <w:tr w:rsidR="00311205" w14:paraId="2CF52389" w14:textId="77777777" w:rsidTr="008C3548">
        <w:tc>
          <w:tcPr>
            <w:tcW w:w="1838" w:type="dxa"/>
            <w:vMerge/>
          </w:tcPr>
          <w:p w14:paraId="60903740" w14:textId="77777777" w:rsidR="00311205" w:rsidRDefault="00311205" w:rsidP="00311205">
            <w:pPr>
              <w:tabs>
                <w:tab w:val="left" w:pos="3930"/>
              </w:tabs>
            </w:pPr>
          </w:p>
        </w:tc>
        <w:tc>
          <w:tcPr>
            <w:tcW w:w="2670" w:type="dxa"/>
          </w:tcPr>
          <w:p w14:paraId="17A47934" w14:textId="77777777" w:rsidR="00311205" w:rsidRDefault="00311205" w:rsidP="00311205">
            <w:pPr>
              <w:tabs>
                <w:tab w:val="left" w:pos="3930"/>
              </w:tabs>
            </w:pPr>
            <w:r>
              <w:t>Working with Social Enterprise Companies</w:t>
            </w:r>
          </w:p>
        </w:tc>
        <w:tc>
          <w:tcPr>
            <w:tcW w:w="2254" w:type="dxa"/>
            <w:shd w:val="clear" w:color="auto" w:fill="00B050"/>
          </w:tcPr>
          <w:p w14:paraId="1BCA8966" w14:textId="77777777" w:rsidR="00311205" w:rsidRDefault="00311205" w:rsidP="00311205">
            <w:pPr>
              <w:tabs>
                <w:tab w:val="left" w:pos="3930"/>
              </w:tabs>
            </w:pPr>
            <w:r>
              <w:t>In Force Now</w:t>
            </w:r>
          </w:p>
        </w:tc>
        <w:tc>
          <w:tcPr>
            <w:tcW w:w="2254" w:type="dxa"/>
          </w:tcPr>
          <w:p w14:paraId="4405C8CC" w14:textId="77777777" w:rsidR="00311205" w:rsidRDefault="00311205" w:rsidP="00311205">
            <w:pPr>
              <w:tabs>
                <w:tab w:val="left" w:pos="3930"/>
              </w:tabs>
            </w:pPr>
            <w:r>
              <w:t>Procurement Manager</w:t>
            </w:r>
          </w:p>
        </w:tc>
      </w:tr>
      <w:tr w:rsidR="00311205" w14:paraId="0C263D83" w14:textId="77777777" w:rsidTr="007D0AC2">
        <w:tc>
          <w:tcPr>
            <w:tcW w:w="1838" w:type="dxa"/>
          </w:tcPr>
          <w:p w14:paraId="5361080C" w14:textId="77777777" w:rsidR="00311205" w:rsidRDefault="00311205" w:rsidP="00311205">
            <w:pPr>
              <w:tabs>
                <w:tab w:val="left" w:pos="3930"/>
              </w:tabs>
            </w:pPr>
            <w:r>
              <w:t>Constitution Review</w:t>
            </w:r>
          </w:p>
        </w:tc>
        <w:tc>
          <w:tcPr>
            <w:tcW w:w="2670" w:type="dxa"/>
          </w:tcPr>
          <w:p w14:paraId="4C7EA6ED" w14:textId="77777777" w:rsidR="00311205" w:rsidRDefault="00311205" w:rsidP="00311205">
            <w:pPr>
              <w:tabs>
                <w:tab w:val="left" w:pos="3930"/>
              </w:tabs>
            </w:pPr>
            <w:r>
              <w:t>Continuous review on a yearly basis</w:t>
            </w:r>
          </w:p>
        </w:tc>
        <w:tc>
          <w:tcPr>
            <w:tcW w:w="2254" w:type="dxa"/>
          </w:tcPr>
          <w:p w14:paraId="31D6A186" w14:textId="77777777" w:rsidR="00311205" w:rsidRDefault="00311205" w:rsidP="00311205">
            <w:pPr>
              <w:tabs>
                <w:tab w:val="left" w:pos="3930"/>
              </w:tabs>
            </w:pPr>
            <w:r>
              <w:t>Complete 2022 – review 2023</w:t>
            </w:r>
          </w:p>
        </w:tc>
        <w:tc>
          <w:tcPr>
            <w:tcW w:w="2254" w:type="dxa"/>
          </w:tcPr>
          <w:p w14:paraId="11FF59D7" w14:textId="77777777" w:rsidR="00311205" w:rsidRDefault="00311205" w:rsidP="00311205">
            <w:pPr>
              <w:tabs>
                <w:tab w:val="left" w:pos="3930"/>
              </w:tabs>
            </w:pPr>
            <w:r>
              <w:t>Procurement Manager</w:t>
            </w:r>
          </w:p>
        </w:tc>
      </w:tr>
      <w:tr w:rsidR="00311205" w14:paraId="561873C8" w14:textId="77777777" w:rsidTr="007D0AC2">
        <w:tc>
          <w:tcPr>
            <w:tcW w:w="1838" w:type="dxa"/>
          </w:tcPr>
          <w:p w14:paraId="32128B1B" w14:textId="77777777" w:rsidR="00311205" w:rsidRDefault="00311205" w:rsidP="00311205">
            <w:pPr>
              <w:tabs>
                <w:tab w:val="left" w:pos="3930"/>
              </w:tabs>
            </w:pPr>
            <w:r>
              <w:t>Procurement template review</w:t>
            </w:r>
          </w:p>
        </w:tc>
        <w:tc>
          <w:tcPr>
            <w:tcW w:w="2670" w:type="dxa"/>
          </w:tcPr>
          <w:p w14:paraId="0C6F4D59" w14:textId="77777777" w:rsidR="00311205" w:rsidRDefault="00311205" w:rsidP="00311205">
            <w:pPr>
              <w:tabs>
                <w:tab w:val="left" w:pos="3930"/>
              </w:tabs>
            </w:pPr>
            <w:r>
              <w:t>Continuous review</w:t>
            </w:r>
          </w:p>
        </w:tc>
        <w:tc>
          <w:tcPr>
            <w:tcW w:w="2254" w:type="dxa"/>
          </w:tcPr>
          <w:p w14:paraId="24F70E33" w14:textId="77777777" w:rsidR="00311205" w:rsidRDefault="00311205" w:rsidP="00311205">
            <w:pPr>
              <w:tabs>
                <w:tab w:val="left" w:pos="3930"/>
              </w:tabs>
            </w:pPr>
          </w:p>
        </w:tc>
        <w:tc>
          <w:tcPr>
            <w:tcW w:w="2254" w:type="dxa"/>
          </w:tcPr>
          <w:p w14:paraId="34E87D37" w14:textId="77777777" w:rsidR="00311205" w:rsidRDefault="00311205" w:rsidP="00311205">
            <w:pPr>
              <w:tabs>
                <w:tab w:val="left" w:pos="3930"/>
              </w:tabs>
            </w:pPr>
            <w:r>
              <w:t>Procurement Officer</w:t>
            </w:r>
          </w:p>
        </w:tc>
      </w:tr>
      <w:tr w:rsidR="00311205" w14:paraId="3F526DFF" w14:textId="77777777" w:rsidTr="002477C3">
        <w:tc>
          <w:tcPr>
            <w:tcW w:w="1838" w:type="dxa"/>
            <w:vMerge w:val="restart"/>
          </w:tcPr>
          <w:p w14:paraId="031EA078" w14:textId="77777777" w:rsidR="00311205" w:rsidRDefault="00311205" w:rsidP="00311205">
            <w:pPr>
              <w:tabs>
                <w:tab w:val="left" w:pos="3930"/>
              </w:tabs>
            </w:pPr>
            <w:r>
              <w:t>Procurement Training</w:t>
            </w:r>
          </w:p>
        </w:tc>
        <w:tc>
          <w:tcPr>
            <w:tcW w:w="2670" w:type="dxa"/>
          </w:tcPr>
          <w:p w14:paraId="48FEC2C8" w14:textId="77777777" w:rsidR="00311205" w:rsidRDefault="00311205" w:rsidP="00311205">
            <w:pPr>
              <w:tabs>
                <w:tab w:val="left" w:pos="3930"/>
              </w:tabs>
            </w:pPr>
            <w:r>
              <w:t>Procurement Overview</w:t>
            </w:r>
          </w:p>
        </w:tc>
        <w:tc>
          <w:tcPr>
            <w:tcW w:w="2254" w:type="dxa"/>
            <w:shd w:val="clear" w:color="auto" w:fill="00B050"/>
          </w:tcPr>
          <w:p w14:paraId="70834C6C" w14:textId="77777777" w:rsidR="00311205" w:rsidRDefault="00311205" w:rsidP="00311205">
            <w:pPr>
              <w:tabs>
                <w:tab w:val="left" w:pos="3930"/>
              </w:tabs>
            </w:pPr>
            <w:r>
              <w:t>Delivered monthly</w:t>
            </w:r>
          </w:p>
        </w:tc>
        <w:tc>
          <w:tcPr>
            <w:tcW w:w="2254" w:type="dxa"/>
          </w:tcPr>
          <w:p w14:paraId="7817ACF0" w14:textId="77777777" w:rsidR="00311205" w:rsidRDefault="00311205" w:rsidP="00311205">
            <w:pPr>
              <w:tabs>
                <w:tab w:val="left" w:pos="3930"/>
              </w:tabs>
            </w:pPr>
            <w:r>
              <w:t>Procurement Specialist</w:t>
            </w:r>
          </w:p>
        </w:tc>
      </w:tr>
      <w:tr w:rsidR="00311205" w14:paraId="05471E90" w14:textId="77777777" w:rsidTr="002477C3">
        <w:tc>
          <w:tcPr>
            <w:tcW w:w="1838" w:type="dxa"/>
            <w:vMerge/>
          </w:tcPr>
          <w:p w14:paraId="58529E63" w14:textId="77777777" w:rsidR="00311205" w:rsidRDefault="00311205" w:rsidP="00311205">
            <w:pPr>
              <w:tabs>
                <w:tab w:val="left" w:pos="3930"/>
              </w:tabs>
            </w:pPr>
          </w:p>
        </w:tc>
        <w:tc>
          <w:tcPr>
            <w:tcW w:w="2670" w:type="dxa"/>
          </w:tcPr>
          <w:p w14:paraId="74931221" w14:textId="77777777" w:rsidR="00311205" w:rsidRDefault="00311205" w:rsidP="00311205">
            <w:pPr>
              <w:tabs>
                <w:tab w:val="left" w:pos="3930"/>
              </w:tabs>
            </w:pPr>
            <w:proofErr w:type="spellStart"/>
            <w:r>
              <w:t>Agresso</w:t>
            </w:r>
            <w:proofErr w:type="spellEnd"/>
          </w:p>
        </w:tc>
        <w:tc>
          <w:tcPr>
            <w:tcW w:w="2254" w:type="dxa"/>
            <w:shd w:val="clear" w:color="auto" w:fill="00B050"/>
          </w:tcPr>
          <w:p w14:paraId="492B77D8" w14:textId="77777777" w:rsidR="00311205" w:rsidRDefault="00311205" w:rsidP="00311205">
            <w:pPr>
              <w:tabs>
                <w:tab w:val="left" w:pos="3930"/>
              </w:tabs>
            </w:pPr>
            <w:r>
              <w:t>Delivered monthly</w:t>
            </w:r>
          </w:p>
        </w:tc>
        <w:tc>
          <w:tcPr>
            <w:tcW w:w="2254" w:type="dxa"/>
          </w:tcPr>
          <w:p w14:paraId="23A17D0D" w14:textId="77777777" w:rsidR="00311205" w:rsidRDefault="00311205" w:rsidP="00311205">
            <w:pPr>
              <w:tabs>
                <w:tab w:val="left" w:pos="3930"/>
              </w:tabs>
            </w:pPr>
            <w:r>
              <w:t>Procurement Specialist</w:t>
            </w:r>
          </w:p>
        </w:tc>
      </w:tr>
      <w:tr w:rsidR="00311205" w14:paraId="30DC0F0B" w14:textId="77777777" w:rsidTr="007D0AC2">
        <w:tc>
          <w:tcPr>
            <w:tcW w:w="1838" w:type="dxa"/>
            <w:vMerge/>
          </w:tcPr>
          <w:p w14:paraId="146C2EB1" w14:textId="77777777" w:rsidR="00311205" w:rsidRDefault="00311205" w:rsidP="00311205">
            <w:pPr>
              <w:tabs>
                <w:tab w:val="left" w:pos="3930"/>
              </w:tabs>
            </w:pPr>
          </w:p>
        </w:tc>
        <w:tc>
          <w:tcPr>
            <w:tcW w:w="2670" w:type="dxa"/>
          </w:tcPr>
          <w:p w14:paraId="1547EE81" w14:textId="77777777" w:rsidR="00311205" w:rsidRDefault="00311205" w:rsidP="00311205">
            <w:pPr>
              <w:tabs>
                <w:tab w:val="left" w:pos="3930"/>
              </w:tabs>
            </w:pPr>
            <w:r>
              <w:t>Portal training</w:t>
            </w:r>
          </w:p>
        </w:tc>
        <w:tc>
          <w:tcPr>
            <w:tcW w:w="2254" w:type="dxa"/>
          </w:tcPr>
          <w:p w14:paraId="0395992B" w14:textId="77777777" w:rsidR="00311205" w:rsidRDefault="00311205" w:rsidP="00311205">
            <w:pPr>
              <w:tabs>
                <w:tab w:val="left" w:pos="3930"/>
              </w:tabs>
            </w:pPr>
            <w:r>
              <w:t>Autumn onwards then monthly</w:t>
            </w:r>
          </w:p>
        </w:tc>
        <w:tc>
          <w:tcPr>
            <w:tcW w:w="2254" w:type="dxa"/>
          </w:tcPr>
          <w:p w14:paraId="1D21B2FB" w14:textId="77777777" w:rsidR="00311205" w:rsidRDefault="00311205" w:rsidP="00311205">
            <w:pPr>
              <w:tabs>
                <w:tab w:val="left" w:pos="3930"/>
              </w:tabs>
            </w:pPr>
            <w:r>
              <w:t>Procurement Specialist</w:t>
            </w:r>
          </w:p>
        </w:tc>
      </w:tr>
      <w:tr w:rsidR="00311205" w14:paraId="599C3603" w14:textId="77777777" w:rsidTr="007D0AC2">
        <w:tc>
          <w:tcPr>
            <w:tcW w:w="1838" w:type="dxa"/>
          </w:tcPr>
          <w:p w14:paraId="0539D3E5" w14:textId="77777777" w:rsidR="00311205" w:rsidRDefault="00311205" w:rsidP="00311205">
            <w:pPr>
              <w:tabs>
                <w:tab w:val="left" w:pos="3930"/>
              </w:tabs>
            </w:pPr>
            <w:r>
              <w:t>Commercial Focus</w:t>
            </w:r>
          </w:p>
        </w:tc>
        <w:tc>
          <w:tcPr>
            <w:tcW w:w="2670" w:type="dxa"/>
          </w:tcPr>
          <w:p w14:paraId="1682A2D4" w14:textId="77777777" w:rsidR="00311205" w:rsidRDefault="00311205" w:rsidP="00311205">
            <w:pPr>
              <w:tabs>
                <w:tab w:val="left" w:pos="3930"/>
              </w:tabs>
            </w:pPr>
            <w:r>
              <w:t>Sell our services</w:t>
            </w:r>
          </w:p>
        </w:tc>
        <w:tc>
          <w:tcPr>
            <w:tcW w:w="2254" w:type="dxa"/>
          </w:tcPr>
          <w:p w14:paraId="2CAD600E" w14:textId="77777777" w:rsidR="00311205" w:rsidRDefault="00311205" w:rsidP="00311205">
            <w:pPr>
              <w:tabs>
                <w:tab w:val="left" w:pos="3930"/>
              </w:tabs>
            </w:pPr>
          </w:p>
        </w:tc>
        <w:tc>
          <w:tcPr>
            <w:tcW w:w="2254" w:type="dxa"/>
          </w:tcPr>
          <w:p w14:paraId="124AC60A" w14:textId="77777777" w:rsidR="00311205" w:rsidRDefault="00311205" w:rsidP="00311205">
            <w:pPr>
              <w:tabs>
                <w:tab w:val="left" w:pos="3930"/>
              </w:tabs>
            </w:pPr>
            <w:r>
              <w:t>Procurement Manager</w:t>
            </w:r>
          </w:p>
        </w:tc>
      </w:tr>
      <w:tr w:rsidR="00311205" w14:paraId="7FB216D2" w14:textId="77777777" w:rsidTr="00D96BB7">
        <w:tc>
          <w:tcPr>
            <w:tcW w:w="1838" w:type="dxa"/>
          </w:tcPr>
          <w:p w14:paraId="58D0FCC3" w14:textId="77777777" w:rsidR="00311205" w:rsidRDefault="00311205" w:rsidP="00311205">
            <w:pPr>
              <w:tabs>
                <w:tab w:val="left" w:pos="3930"/>
              </w:tabs>
            </w:pPr>
          </w:p>
        </w:tc>
        <w:tc>
          <w:tcPr>
            <w:tcW w:w="2670" w:type="dxa"/>
          </w:tcPr>
          <w:p w14:paraId="647D9F5A" w14:textId="77777777" w:rsidR="00311205" w:rsidRDefault="00311205" w:rsidP="00311205">
            <w:pPr>
              <w:tabs>
                <w:tab w:val="left" w:pos="3930"/>
              </w:tabs>
            </w:pPr>
            <w:r>
              <w:t>Manage the EV DPS</w:t>
            </w:r>
          </w:p>
        </w:tc>
        <w:tc>
          <w:tcPr>
            <w:tcW w:w="2254" w:type="dxa"/>
            <w:shd w:val="clear" w:color="auto" w:fill="00B050"/>
          </w:tcPr>
          <w:p w14:paraId="425729B8" w14:textId="77777777" w:rsidR="00311205" w:rsidRDefault="00311205" w:rsidP="00311205">
            <w:pPr>
              <w:tabs>
                <w:tab w:val="left" w:pos="3930"/>
              </w:tabs>
            </w:pPr>
            <w:r>
              <w:t>On-going</w:t>
            </w:r>
          </w:p>
        </w:tc>
        <w:tc>
          <w:tcPr>
            <w:tcW w:w="2254" w:type="dxa"/>
          </w:tcPr>
          <w:p w14:paraId="24E85282" w14:textId="77777777" w:rsidR="00311205" w:rsidRDefault="00311205" w:rsidP="00311205">
            <w:pPr>
              <w:tabs>
                <w:tab w:val="left" w:pos="3930"/>
              </w:tabs>
            </w:pPr>
            <w:r>
              <w:t>Procurement Specialist</w:t>
            </w:r>
          </w:p>
        </w:tc>
      </w:tr>
      <w:tr w:rsidR="00311205" w14:paraId="24F6DE14" w14:textId="77777777" w:rsidTr="00D96BB7">
        <w:tc>
          <w:tcPr>
            <w:tcW w:w="1838" w:type="dxa"/>
          </w:tcPr>
          <w:p w14:paraId="6E226F12" w14:textId="77777777" w:rsidR="00311205" w:rsidRDefault="00311205" w:rsidP="00311205">
            <w:pPr>
              <w:tabs>
                <w:tab w:val="left" w:pos="3930"/>
              </w:tabs>
            </w:pPr>
          </w:p>
        </w:tc>
        <w:tc>
          <w:tcPr>
            <w:tcW w:w="2670" w:type="dxa"/>
          </w:tcPr>
          <w:p w14:paraId="3A0BFE40" w14:textId="77777777" w:rsidR="00311205" w:rsidRDefault="00311205" w:rsidP="00311205">
            <w:pPr>
              <w:tabs>
                <w:tab w:val="left" w:pos="3930"/>
              </w:tabs>
            </w:pPr>
            <w:r>
              <w:t>Manage the sustainable housing framework</w:t>
            </w:r>
          </w:p>
        </w:tc>
        <w:tc>
          <w:tcPr>
            <w:tcW w:w="2254" w:type="dxa"/>
            <w:shd w:val="clear" w:color="auto" w:fill="00B050"/>
          </w:tcPr>
          <w:p w14:paraId="7925A8B3" w14:textId="77777777" w:rsidR="00311205" w:rsidRDefault="00311205" w:rsidP="00311205">
            <w:pPr>
              <w:tabs>
                <w:tab w:val="left" w:pos="3930"/>
              </w:tabs>
            </w:pPr>
            <w:r>
              <w:t>On-going</w:t>
            </w:r>
          </w:p>
        </w:tc>
        <w:tc>
          <w:tcPr>
            <w:tcW w:w="2254" w:type="dxa"/>
          </w:tcPr>
          <w:p w14:paraId="34C5D7DC" w14:textId="77777777" w:rsidR="00311205" w:rsidRDefault="00311205" w:rsidP="00311205">
            <w:pPr>
              <w:tabs>
                <w:tab w:val="left" w:pos="3930"/>
              </w:tabs>
            </w:pPr>
            <w:r>
              <w:t>Procurement Specialist</w:t>
            </w:r>
          </w:p>
        </w:tc>
      </w:tr>
      <w:tr w:rsidR="00311205" w14:paraId="6D131FDE" w14:textId="77777777" w:rsidTr="007D0AC2">
        <w:tc>
          <w:tcPr>
            <w:tcW w:w="1838" w:type="dxa"/>
          </w:tcPr>
          <w:p w14:paraId="2DB25FDC" w14:textId="77777777" w:rsidR="00311205" w:rsidRDefault="00311205" w:rsidP="00311205">
            <w:pPr>
              <w:tabs>
                <w:tab w:val="left" w:pos="3930"/>
              </w:tabs>
            </w:pPr>
            <w:r>
              <w:t>Contract Management</w:t>
            </w:r>
          </w:p>
        </w:tc>
        <w:tc>
          <w:tcPr>
            <w:tcW w:w="2670" w:type="dxa"/>
          </w:tcPr>
          <w:p w14:paraId="2F145669" w14:textId="77777777" w:rsidR="00311205" w:rsidRDefault="00311205" w:rsidP="00311205">
            <w:pPr>
              <w:tabs>
                <w:tab w:val="left" w:pos="3930"/>
              </w:tabs>
            </w:pPr>
            <w:r>
              <w:t>Basic contract management training</w:t>
            </w:r>
          </w:p>
        </w:tc>
        <w:tc>
          <w:tcPr>
            <w:tcW w:w="2254" w:type="dxa"/>
          </w:tcPr>
          <w:p w14:paraId="3A43CBAB" w14:textId="77777777" w:rsidR="00311205" w:rsidRDefault="00311205" w:rsidP="00311205">
            <w:pPr>
              <w:tabs>
                <w:tab w:val="left" w:pos="3930"/>
              </w:tabs>
            </w:pPr>
            <w:r>
              <w:t>January 2023</w:t>
            </w:r>
          </w:p>
        </w:tc>
        <w:tc>
          <w:tcPr>
            <w:tcW w:w="2254" w:type="dxa"/>
          </w:tcPr>
          <w:p w14:paraId="55E92A93" w14:textId="77777777" w:rsidR="00311205" w:rsidRDefault="00311205" w:rsidP="00311205">
            <w:pPr>
              <w:tabs>
                <w:tab w:val="left" w:pos="3930"/>
              </w:tabs>
            </w:pPr>
            <w:r>
              <w:t>Procurement Manager</w:t>
            </w:r>
          </w:p>
        </w:tc>
      </w:tr>
      <w:tr w:rsidR="00311205" w14:paraId="616BAAD0" w14:textId="77777777" w:rsidTr="007D0AC2">
        <w:tc>
          <w:tcPr>
            <w:tcW w:w="1838" w:type="dxa"/>
          </w:tcPr>
          <w:p w14:paraId="11BA7905" w14:textId="77777777" w:rsidR="00311205" w:rsidRDefault="00311205" w:rsidP="00311205">
            <w:pPr>
              <w:tabs>
                <w:tab w:val="left" w:pos="3930"/>
              </w:tabs>
            </w:pPr>
          </w:p>
        </w:tc>
        <w:tc>
          <w:tcPr>
            <w:tcW w:w="2670" w:type="dxa"/>
          </w:tcPr>
          <w:p w14:paraId="39C1618D" w14:textId="77777777" w:rsidR="00311205" w:rsidRDefault="00311205" w:rsidP="00311205">
            <w:pPr>
              <w:tabs>
                <w:tab w:val="left" w:pos="3930"/>
              </w:tabs>
            </w:pPr>
            <w:r>
              <w:t>Basic negotiation training</w:t>
            </w:r>
          </w:p>
        </w:tc>
        <w:tc>
          <w:tcPr>
            <w:tcW w:w="2254" w:type="dxa"/>
          </w:tcPr>
          <w:p w14:paraId="4AC8228F" w14:textId="77777777" w:rsidR="00311205" w:rsidRDefault="00311205" w:rsidP="00311205">
            <w:pPr>
              <w:tabs>
                <w:tab w:val="left" w:pos="3930"/>
              </w:tabs>
            </w:pPr>
            <w:r>
              <w:t>January 2023</w:t>
            </w:r>
          </w:p>
        </w:tc>
        <w:tc>
          <w:tcPr>
            <w:tcW w:w="2254" w:type="dxa"/>
          </w:tcPr>
          <w:p w14:paraId="7AE29499" w14:textId="77777777" w:rsidR="00311205" w:rsidRDefault="00311205" w:rsidP="00311205">
            <w:pPr>
              <w:tabs>
                <w:tab w:val="left" w:pos="3930"/>
              </w:tabs>
            </w:pPr>
            <w:r>
              <w:t>Procurement Manager</w:t>
            </w:r>
          </w:p>
        </w:tc>
      </w:tr>
      <w:tr w:rsidR="00311205" w14:paraId="20E55C76" w14:textId="77777777" w:rsidTr="007D0AC2">
        <w:tc>
          <w:tcPr>
            <w:tcW w:w="1838" w:type="dxa"/>
          </w:tcPr>
          <w:p w14:paraId="7A84E9DE" w14:textId="77777777" w:rsidR="00311205" w:rsidRDefault="008144A3" w:rsidP="00311205">
            <w:pPr>
              <w:tabs>
                <w:tab w:val="left" w:pos="3930"/>
              </w:tabs>
            </w:pPr>
            <w:r>
              <w:t>Spend Data</w:t>
            </w:r>
          </w:p>
        </w:tc>
        <w:tc>
          <w:tcPr>
            <w:tcW w:w="2670" w:type="dxa"/>
          </w:tcPr>
          <w:p w14:paraId="580CD099" w14:textId="77777777" w:rsidR="00311205" w:rsidRDefault="008144A3" w:rsidP="00311205">
            <w:pPr>
              <w:tabs>
                <w:tab w:val="left" w:pos="3930"/>
              </w:tabs>
            </w:pPr>
            <w:r>
              <w:t>Analysis of Tail end spend (Maverick / Rogue spend)</w:t>
            </w:r>
          </w:p>
        </w:tc>
        <w:tc>
          <w:tcPr>
            <w:tcW w:w="2254" w:type="dxa"/>
          </w:tcPr>
          <w:p w14:paraId="7EAB6D99" w14:textId="77777777" w:rsidR="00311205" w:rsidRDefault="008144A3" w:rsidP="00311205">
            <w:pPr>
              <w:tabs>
                <w:tab w:val="left" w:pos="3930"/>
              </w:tabs>
            </w:pPr>
            <w:r>
              <w:t>Initial review by February 2023 then yearly</w:t>
            </w:r>
          </w:p>
        </w:tc>
        <w:tc>
          <w:tcPr>
            <w:tcW w:w="2254" w:type="dxa"/>
          </w:tcPr>
          <w:p w14:paraId="119875A1" w14:textId="77777777" w:rsidR="00311205" w:rsidRDefault="008144A3" w:rsidP="00311205">
            <w:pPr>
              <w:tabs>
                <w:tab w:val="left" w:pos="3930"/>
              </w:tabs>
            </w:pPr>
            <w:r>
              <w:t>Procurement Officer</w:t>
            </w:r>
          </w:p>
        </w:tc>
      </w:tr>
    </w:tbl>
    <w:p w14:paraId="1A18CC79" w14:textId="77777777" w:rsidR="002875F7" w:rsidRPr="002875F7" w:rsidRDefault="002875F7" w:rsidP="002875F7">
      <w:pPr>
        <w:tabs>
          <w:tab w:val="left" w:pos="3930"/>
        </w:tabs>
      </w:pPr>
    </w:p>
    <w:sectPr w:rsidR="002875F7" w:rsidRPr="002875F7">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BB91" w14:textId="77777777" w:rsidR="00233EB0" w:rsidRDefault="00233EB0" w:rsidP="003E0AAD">
      <w:pPr>
        <w:spacing w:before="0" w:after="0" w:line="240" w:lineRule="auto"/>
      </w:pPr>
      <w:r>
        <w:separator/>
      </w:r>
    </w:p>
  </w:endnote>
  <w:endnote w:type="continuationSeparator" w:id="0">
    <w:p w14:paraId="48A417CB" w14:textId="77777777" w:rsidR="00233EB0" w:rsidRDefault="00233EB0" w:rsidP="003E0A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6010"/>
      <w:docPartObj>
        <w:docPartGallery w:val="Page Numbers (Bottom of Page)"/>
        <w:docPartUnique/>
      </w:docPartObj>
    </w:sdtPr>
    <w:sdtEndPr>
      <w:rPr>
        <w:noProof/>
      </w:rPr>
    </w:sdtEndPr>
    <w:sdtContent>
      <w:p w14:paraId="53EEB68E" w14:textId="77777777" w:rsidR="00233EB0" w:rsidRDefault="00233EB0">
        <w:pPr>
          <w:pStyle w:val="Footer"/>
          <w:jc w:val="right"/>
        </w:pPr>
        <w:r>
          <w:fldChar w:fldCharType="begin"/>
        </w:r>
        <w:r>
          <w:instrText xml:space="preserve"> PAGE   \* MERGEFORMAT </w:instrText>
        </w:r>
        <w:r>
          <w:fldChar w:fldCharType="separate"/>
        </w:r>
        <w:r w:rsidR="008D7D79">
          <w:rPr>
            <w:noProof/>
          </w:rPr>
          <w:t>21</w:t>
        </w:r>
        <w:r>
          <w:rPr>
            <w:noProof/>
          </w:rPr>
          <w:fldChar w:fldCharType="end"/>
        </w:r>
      </w:p>
    </w:sdtContent>
  </w:sdt>
  <w:p w14:paraId="07DE52C3" w14:textId="77777777" w:rsidR="00233EB0" w:rsidRDefault="00233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A7850" w14:textId="77777777" w:rsidR="00233EB0" w:rsidRDefault="00233EB0" w:rsidP="003E0AAD">
      <w:pPr>
        <w:spacing w:before="0" w:after="0" w:line="240" w:lineRule="auto"/>
      </w:pPr>
      <w:r>
        <w:separator/>
      </w:r>
    </w:p>
  </w:footnote>
  <w:footnote w:type="continuationSeparator" w:id="0">
    <w:p w14:paraId="2769FCED" w14:textId="77777777" w:rsidR="00233EB0" w:rsidRDefault="00233EB0" w:rsidP="003E0AAD">
      <w:pPr>
        <w:spacing w:before="0" w:after="0" w:line="240" w:lineRule="auto"/>
      </w:pPr>
      <w:r>
        <w:continuationSeparator/>
      </w:r>
    </w:p>
  </w:footnote>
  <w:footnote w:id="1">
    <w:p w14:paraId="139F3E1A" w14:textId="77777777" w:rsidR="00BB7F51" w:rsidRDefault="00BB7F51" w:rsidP="00BB7F51">
      <w:pPr>
        <w:autoSpaceDE w:val="0"/>
        <w:autoSpaceDN w:val="0"/>
        <w:adjustRightInd w:val="0"/>
        <w:rPr>
          <w:color w:val="000000"/>
          <w:sz w:val="18"/>
          <w:szCs w:val="18"/>
        </w:rPr>
      </w:pPr>
      <w:r>
        <w:rPr>
          <w:rStyle w:val="FootnoteReference"/>
        </w:rPr>
        <w:footnoteRef/>
      </w:r>
      <w:r>
        <w:t xml:space="preserve"> </w:t>
      </w:r>
      <w:r>
        <w:rPr>
          <w:rFonts w:ascii="Times New Roman" w:hAnsi="Times New Roman" w:cs="Times New Roman"/>
          <w:color w:val="000000"/>
          <w:sz w:val="16"/>
          <w:szCs w:val="16"/>
        </w:rPr>
        <w:t xml:space="preserve"> </w:t>
      </w:r>
      <w:r>
        <w:rPr>
          <w:color w:val="000000"/>
          <w:sz w:val="18"/>
          <w:szCs w:val="18"/>
        </w:rPr>
        <w:t>For background see Home Office publication</w:t>
      </w:r>
    </w:p>
    <w:p w14:paraId="5F1E14BB" w14:textId="77777777" w:rsidR="00BB7F51" w:rsidRDefault="00BB7F51" w:rsidP="00BB7F51">
      <w:pPr>
        <w:autoSpaceDE w:val="0"/>
        <w:autoSpaceDN w:val="0"/>
        <w:adjustRightInd w:val="0"/>
        <w:rPr>
          <w:color w:val="0000FF"/>
          <w:sz w:val="18"/>
          <w:szCs w:val="18"/>
        </w:rPr>
      </w:pPr>
      <w:r>
        <w:rPr>
          <w:color w:val="0000FF"/>
          <w:sz w:val="18"/>
          <w:szCs w:val="18"/>
        </w:rPr>
        <w:t>https://www.gov.uk/government/uploads/system/uploads/attachment_data/file/471996/Transparency_in</w:t>
      </w:r>
    </w:p>
    <w:p w14:paraId="200E26FF" w14:textId="77777777" w:rsidR="00BB7F51" w:rsidRDefault="00BB7F51" w:rsidP="00BB7F51">
      <w:pPr>
        <w:pStyle w:val="FootnoteText"/>
      </w:pPr>
      <w:r>
        <w:rPr>
          <w:color w:val="0000FF"/>
          <w:sz w:val="18"/>
          <w:szCs w:val="18"/>
        </w:rPr>
        <w:t>_Supply_Chains_etc__A_practical_guide__final_.pdf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34"/>
    <w:multiLevelType w:val="hybridMultilevel"/>
    <w:tmpl w:val="FE2C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650"/>
    <w:multiLevelType w:val="hybridMultilevel"/>
    <w:tmpl w:val="1412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A3CDC"/>
    <w:multiLevelType w:val="hybridMultilevel"/>
    <w:tmpl w:val="ED902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B3202"/>
    <w:multiLevelType w:val="hybridMultilevel"/>
    <w:tmpl w:val="49BAF5D2"/>
    <w:lvl w:ilvl="0" w:tplc="08090001">
      <w:start w:val="1"/>
      <w:numFmt w:val="bullet"/>
      <w:lvlText w:val=""/>
      <w:lvlJc w:val="left"/>
      <w:pPr>
        <w:ind w:left="1510" w:hanging="360"/>
      </w:pPr>
      <w:rPr>
        <w:rFonts w:ascii="Symbol" w:hAnsi="Symbol" w:hint="default"/>
      </w:rPr>
    </w:lvl>
    <w:lvl w:ilvl="1" w:tplc="08090003">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4" w15:restartNumberingAfterBreak="0">
    <w:nsid w:val="0F667894"/>
    <w:multiLevelType w:val="hybridMultilevel"/>
    <w:tmpl w:val="11AC509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21B5C35"/>
    <w:multiLevelType w:val="hybridMultilevel"/>
    <w:tmpl w:val="56987A80"/>
    <w:lvl w:ilvl="0" w:tplc="070EF17E">
      <w:numFmt w:val="bullet"/>
      <w:lvlText w:val=""/>
      <w:lvlJc w:val="left"/>
      <w:pPr>
        <w:ind w:left="821" w:hanging="360"/>
      </w:pPr>
      <w:rPr>
        <w:rFonts w:ascii="Symbol" w:eastAsia="Symbol" w:hAnsi="Symbol" w:cs="Symbol" w:hint="default"/>
        <w:w w:val="100"/>
        <w:sz w:val="24"/>
        <w:szCs w:val="24"/>
      </w:rPr>
    </w:lvl>
    <w:lvl w:ilvl="1" w:tplc="1AEC3AA2">
      <w:numFmt w:val="bullet"/>
      <w:lvlText w:val="•"/>
      <w:lvlJc w:val="left"/>
      <w:pPr>
        <w:ind w:left="1799" w:hanging="360"/>
      </w:pPr>
      <w:rPr>
        <w:rFonts w:hint="default"/>
      </w:rPr>
    </w:lvl>
    <w:lvl w:ilvl="2" w:tplc="E61C5FD2">
      <w:numFmt w:val="bullet"/>
      <w:lvlText w:val="•"/>
      <w:lvlJc w:val="left"/>
      <w:pPr>
        <w:ind w:left="2778" w:hanging="360"/>
      </w:pPr>
      <w:rPr>
        <w:rFonts w:hint="default"/>
      </w:rPr>
    </w:lvl>
    <w:lvl w:ilvl="3" w:tplc="6400D8F4">
      <w:numFmt w:val="bullet"/>
      <w:lvlText w:val="•"/>
      <w:lvlJc w:val="left"/>
      <w:pPr>
        <w:ind w:left="3757" w:hanging="360"/>
      </w:pPr>
      <w:rPr>
        <w:rFonts w:hint="default"/>
      </w:rPr>
    </w:lvl>
    <w:lvl w:ilvl="4" w:tplc="927645F2">
      <w:numFmt w:val="bullet"/>
      <w:lvlText w:val="•"/>
      <w:lvlJc w:val="left"/>
      <w:pPr>
        <w:ind w:left="4736" w:hanging="360"/>
      </w:pPr>
      <w:rPr>
        <w:rFonts w:hint="default"/>
      </w:rPr>
    </w:lvl>
    <w:lvl w:ilvl="5" w:tplc="CF58EB24">
      <w:numFmt w:val="bullet"/>
      <w:lvlText w:val="•"/>
      <w:lvlJc w:val="left"/>
      <w:pPr>
        <w:ind w:left="5715" w:hanging="360"/>
      </w:pPr>
      <w:rPr>
        <w:rFonts w:hint="default"/>
      </w:rPr>
    </w:lvl>
    <w:lvl w:ilvl="6" w:tplc="60B6A70E">
      <w:numFmt w:val="bullet"/>
      <w:lvlText w:val="•"/>
      <w:lvlJc w:val="left"/>
      <w:pPr>
        <w:ind w:left="6694" w:hanging="360"/>
      </w:pPr>
      <w:rPr>
        <w:rFonts w:hint="default"/>
      </w:rPr>
    </w:lvl>
    <w:lvl w:ilvl="7" w:tplc="3AC4E894">
      <w:numFmt w:val="bullet"/>
      <w:lvlText w:val="•"/>
      <w:lvlJc w:val="left"/>
      <w:pPr>
        <w:ind w:left="7673" w:hanging="360"/>
      </w:pPr>
      <w:rPr>
        <w:rFonts w:hint="default"/>
      </w:rPr>
    </w:lvl>
    <w:lvl w:ilvl="8" w:tplc="2DAEDBFA">
      <w:numFmt w:val="bullet"/>
      <w:lvlText w:val="•"/>
      <w:lvlJc w:val="left"/>
      <w:pPr>
        <w:ind w:left="8652" w:hanging="360"/>
      </w:pPr>
      <w:rPr>
        <w:rFonts w:hint="default"/>
      </w:rPr>
    </w:lvl>
  </w:abstractNum>
  <w:abstractNum w:abstractNumId="6" w15:restartNumberingAfterBreak="0">
    <w:nsid w:val="12F9079D"/>
    <w:multiLevelType w:val="multilevel"/>
    <w:tmpl w:val="A71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F1CC3"/>
    <w:multiLevelType w:val="hybridMultilevel"/>
    <w:tmpl w:val="5B7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27AD"/>
    <w:multiLevelType w:val="hybridMultilevel"/>
    <w:tmpl w:val="A5EC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A0300"/>
    <w:multiLevelType w:val="hybridMultilevel"/>
    <w:tmpl w:val="808AC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C6347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36ABB"/>
    <w:multiLevelType w:val="hybridMultilevel"/>
    <w:tmpl w:val="B17A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A2198"/>
    <w:multiLevelType w:val="hybridMultilevel"/>
    <w:tmpl w:val="0A0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0784E"/>
    <w:multiLevelType w:val="hybridMultilevel"/>
    <w:tmpl w:val="2DB617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F9F4481"/>
    <w:multiLevelType w:val="hybridMultilevel"/>
    <w:tmpl w:val="BBD46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85DF0"/>
    <w:multiLevelType w:val="hybridMultilevel"/>
    <w:tmpl w:val="6CC2E202"/>
    <w:lvl w:ilvl="0" w:tplc="0DCE127A">
      <w:start w:val="1"/>
      <w:numFmt w:val="decimal"/>
      <w:lvlText w:val="%1."/>
      <w:lvlJc w:val="left"/>
      <w:pPr>
        <w:tabs>
          <w:tab w:val="num" w:pos="720"/>
        </w:tabs>
        <w:ind w:left="720" w:hanging="360"/>
      </w:pPr>
    </w:lvl>
    <w:lvl w:ilvl="1" w:tplc="0E6E0708" w:tentative="1">
      <w:start w:val="1"/>
      <w:numFmt w:val="decimal"/>
      <w:lvlText w:val="%2."/>
      <w:lvlJc w:val="left"/>
      <w:pPr>
        <w:tabs>
          <w:tab w:val="num" w:pos="1440"/>
        </w:tabs>
        <w:ind w:left="1440" w:hanging="360"/>
      </w:pPr>
    </w:lvl>
    <w:lvl w:ilvl="2" w:tplc="F66059BA" w:tentative="1">
      <w:start w:val="1"/>
      <w:numFmt w:val="decimal"/>
      <w:lvlText w:val="%3."/>
      <w:lvlJc w:val="left"/>
      <w:pPr>
        <w:tabs>
          <w:tab w:val="num" w:pos="2160"/>
        </w:tabs>
        <w:ind w:left="2160" w:hanging="360"/>
      </w:pPr>
    </w:lvl>
    <w:lvl w:ilvl="3" w:tplc="CD9E9A5E" w:tentative="1">
      <w:start w:val="1"/>
      <w:numFmt w:val="decimal"/>
      <w:lvlText w:val="%4."/>
      <w:lvlJc w:val="left"/>
      <w:pPr>
        <w:tabs>
          <w:tab w:val="num" w:pos="2880"/>
        </w:tabs>
        <w:ind w:left="2880" w:hanging="360"/>
      </w:pPr>
    </w:lvl>
    <w:lvl w:ilvl="4" w:tplc="8A3A4C0C" w:tentative="1">
      <w:start w:val="1"/>
      <w:numFmt w:val="decimal"/>
      <w:lvlText w:val="%5."/>
      <w:lvlJc w:val="left"/>
      <w:pPr>
        <w:tabs>
          <w:tab w:val="num" w:pos="3600"/>
        </w:tabs>
        <w:ind w:left="3600" w:hanging="360"/>
      </w:pPr>
    </w:lvl>
    <w:lvl w:ilvl="5" w:tplc="EF505E50" w:tentative="1">
      <w:start w:val="1"/>
      <w:numFmt w:val="decimal"/>
      <w:lvlText w:val="%6."/>
      <w:lvlJc w:val="left"/>
      <w:pPr>
        <w:tabs>
          <w:tab w:val="num" w:pos="4320"/>
        </w:tabs>
        <w:ind w:left="4320" w:hanging="360"/>
      </w:pPr>
    </w:lvl>
    <w:lvl w:ilvl="6" w:tplc="BD38BCD6" w:tentative="1">
      <w:start w:val="1"/>
      <w:numFmt w:val="decimal"/>
      <w:lvlText w:val="%7."/>
      <w:lvlJc w:val="left"/>
      <w:pPr>
        <w:tabs>
          <w:tab w:val="num" w:pos="5040"/>
        </w:tabs>
        <w:ind w:left="5040" w:hanging="360"/>
      </w:pPr>
    </w:lvl>
    <w:lvl w:ilvl="7" w:tplc="0B867276" w:tentative="1">
      <w:start w:val="1"/>
      <w:numFmt w:val="decimal"/>
      <w:lvlText w:val="%8."/>
      <w:lvlJc w:val="left"/>
      <w:pPr>
        <w:tabs>
          <w:tab w:val="num" w:pos="5760"/>
        </w:tabs>
        <w:ind w:left="5760" w:hanging="360"/>
      </w:pPr>
    </w:lvl>
    <w:lvl w:ilvl="8" w:tplc="BC5206FC" w:tentative="1">
      <w:start w:val="1"/>
      <w:numFmt w:val="decimal"/>
      <w:lvlText w:val="%9."/>
      <w:lvlJc w:val="left"/>
      <w:pPr>
        <w:tabs>
          <w:tab w:val="num" w:pos="6480"/>
        </w:tabs>
        <w:ind w:left="6480" w:hanging="360"/>
      </w:pPr>
    </w:lvl>
  </w:abstractNum>
  <w:abstractNum w:abstractNumId="15" w15:restartNumberingAfterBreak="0">
    <w:nsid w:val="30B2654E"/>
    <w:multiLevelType w:val="hybridMultilevel"/>
    <w:tmpl w:val="6F84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50F6B"/>
    <w:multiLevelType w:val="hybridMultilevel"/>
    <w:tmpl w:val="808AC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C6347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415EC"/>
    <w:multiLevelType w:val="hybridMultilevel"/>
    <w:tmpl w:val="BEA09EA6"/>
    <w:lvl w:ilvl="0" w:tplc="C6ECBDEA">
      <w:start w:val="1"/>
      <w:numFmt w:val="decimal"/>
      <w:lvlText w:val="%1."/>
      <w:lvlJc w:val="left"/>
      <w:pPr>
        <w:ind w:left="39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223EF"/>
    <w:multiLevelType w:val="hybridMultilevel"/>
    <w:tmpl w:val="63925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AF3FB3"/>
    <w:multiLevelType w:val="hybridMultilevel"/>
    <w:tmpl w:val="0AB2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216AA"/>
    <w:multiLevelType w:val="hybridMultilevel"/>
    <w:tmpl w:val="6CC2E202"/>
    <w:lvl w:ilvl="0" w:tplc="0DCE127A">
      <w:start w:val="1"/>
      <w:numFmt w:val="decimal"/>
      <w:lvlText w:val="%1."/>
      <w:lvlJc w:val="left"/>
      <w:pPr>
        <w:tabs>
          <w:tab w:val="num" w:pos="720"/>
        </w:tabs>
        <w:ind w:left="720" w:hanging="360"/>
      </w:pPr>
    </w:lvl>
    <w:lvl w:ilvl="1" w:tplc="0E6E0708" w:tentative="1">
      <w:start w:val="1"/>
      <w:numFmt w:val="decimal"/>
      <w:lvlText w:val="%2."/>
      <w:lvlJc w:val="left"/>
      <w:pPr>
        <w:tabs>
          <w:tab w:val="num" w:pos="1440"/>
        </w:tabs>
        <w:ind w:left="1440" w:hanging="360"/>
      </w:pPr>
    </w:lvl>
    <w:lvl w:ilvl="2" w:tplc="F66059BA" w:tentative="1">
      <w:start w:val="1"/>
      <w:numFmt w:val="decimal"/>
      <w:lvlText w:val="%3."/>
      <w:lvlJc w:val="left"/>
      <w:pPr>
        <w:tabs>
          <w:tab w:val="num" w:pos="2160"/>
        </w:tabs>
        <w:ind w:left="2160" w:hanging="360"/>
      </w:pPr>
    </w:lvl>
    <w:lvl w:ilvl="3" w:tplc="CD9E9A5E" w:tentative="1">
      <w:start w:val="1"/>
      <w:numFmt w:val="decimal"/>
      <w:lvlText w:val="%4."/>
      <w:lvlJc w:val="left"/>
      <w:pPr>
        <w:tabs>
          <w:tab w:val="num" w:pos="2880"/>
        </w:tabs>
        <w:ind w:left="2880" w:hanging="360"/>
      </w:pPr>
    </w:lvl>
    <w:lvl w:ilvl="4" w:tplc="8A3A4C0C" w:tentative="1">
      <w:start w:val="1"/>
      <w:numFmt w:val="decimal"/>
      <w:lvlText w:val="%5."/>
      <w:lvlJc w:val="left"/>
      <w:pPr>
        <w:tabs>
          <w:tab w:val="num" w:pos="3600"/>
        </w:tabs>
        <w:ind w:left="3600" w:hanging="360"/>
      </w:pPr>
    </w:lvl>
    <w:lvl w:ilvl="5" w:tplc="EF505E50" w:tentative="1">
      <w:start w:val="1"/>
      <w:numFmt w:val="decimal"/>
      <w:lvlText w:val="%6."/>
      <w:lvlJc w:val="left"/>
      <w:pPr>
        <w:tabs>
          <w:tab w:val="num" w:pos="4320"/>
        </w:tabs>
        <w:ind w:left="4320" w:hanging="360"/>
      </w:pPr>
    </w:lvl>
    <w:lvl w:ilvl="6" w:tplc="BD38BCD6" w:tentative="1">
      <w:start w:val="1"/>
      <w:numFmt w:val="decimal"/>
      <w:lvlText w:val="%7."/>
      <w:lvlJc w:val="left"/>
      <w:pPr>
        <w:tabs>
          <w:tab w:val="num" w:pos="5040"/>
        </w:tabs>
        <w:ind w:left="5040" w:hanging="360"/>
      </w:pPr>
    </w:lvl>
    <w:lvl w:ilvl="7" w:tplc="0B867276" w:tentative="1">
      <w:start w:val="1"/>
      <w:numFmt w:val="decimal"/>
      <w:lvlText w:val="%8."/>
      <w:lvlJc w:val="left"/>
      <w:pPr>
        <w:tabs>
          <w:tab w:val="num" w:pos="5760"/>
        </w:tabs>
        <w:ind w:left="5760" w:hanging="360"/>
      </w:pPr>
    </w:lvl>
    <w:lvl w:ilvl="8" w:tplc="BC5206FC" w:tentative="1">
      <w:start w:val="1"/>
      <w:numFmt w:val="decimal"/>
      <w:lvlText w:val="%9."/>
      <w:lvlJc w:val="left"/>
      <w:pPr>
        <w:tabs>
          <w:tab w:val="num" w:pos="6480"/>
        </w:tabs>
        <w:ind w:left="6480" w:hanging="360"/>
      </w:pPr>
    </w:lvl>
  </w:abstractNum>
  <w:abstractNum w:abstractNumId="21" w15:restartNumberingAfterBreak="0">
    <w:nsid w:val="42421421"/>
    <w:multiLevelType w:val="hybridMultilevel"/>
    <w:tmpl w:val="B52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46D05"/>
    <w:multiLevelType w:val="hybridMultilevel"/>
    <w:tmpl w:val="6FDA8AF2"/>
    <w:lvl w:ilvl="0" w:tplc="F40AD5E6">
      <w:start w:val="1"/>
      <w:numFmt w:val="bullet"/>
      <w:lvlText w:val="•"/>
      <w:lvlJc w:val="left"/>
      <w:pPr>
        <w:tabs>
          <w:tab w:val="num" w:pos="720"/>
        </w:tabs>
        <w:ind w:left="720" w:hanging="360"/>
      </w:pPr>
      <w:rPr>
        <w:rFonts w:ascii="Arial" w:hAnsi="Arial" w:hint="default"/>
      </w:rPr>
    </w:lvl>
    <w:lvl w:ilvl="1" w:tplc="8DA6B046" w:tentative="1">
      <w:start w:val="1"/>
      <w:numFmt w:val="bullet"/>
      <w:lvlText w:val="•"/>
      <w:lvlJc w:val="left"/>
      <w:pPr>
        <w:tabs>
          <w:tab w:val="num" w:pos="1440"/>
        </w:tabs>
        <w:ind w:left="1440" w:hanging="360"/>
      </w:pPr>
      <w:rPr>
        <w:rFonts w:ascii="Arial" w:hAnsi="Arial" w:hint="default"/>
      </w:rPr>
    </w:lvl>
    <w:lvl w:ilvl="2" w:tplc="20969838" w:tentative="1">
      <w:start w:val="1"/>
      <w:numFmt w:val="bullet"/>
      <w:lvlText w:val="•"/>
      <w:lvlJc w:val="left"/>
      <w:pPr>
        <w:tabs>
          <w:tab w:val="num" w:pos="2160"/>
        </w:tabs>
        <w:ind w:left="2160" w:hanging="360"/>
      </w:pPr>
      <w:rPr>
        <w:rFonts w:ascii="Arial" w:hAnsi="Arial" w:hint="default"/>
      </w:rPr>
    </w:lvl>
    <w:lvl w:ilvl="3" w:tplc="3B825F90" w:tentative="1">
      <w:start w:val="1"/>
      <w:numFmt w:val="bullet"/>
      <w:lvlText w:val="•"/>
      <w:lvlJc w:val="left"/>
      <w:pPr>
        <w:tabs>
          <w:tab w:val="num" w:pos="2880"/>
        </w:tabs>
        <w:ind w:left="2880" w:hanging="360"/>
      </w:pPr>
      <w:rPr>
        <w:rFonts w:ascii="Arial" w:hAnsi="Arial" w:hint="default"/>
      </w:rPr>
    </w:lvl>
    <w:lvl w:ilvl="4" w:tplc="A420CBE4" w:tentative="1">
      <w:start w:val="1"/>
      <w:numFmt w:val="bullet"/>
      <w:lvlText w:val="•"/>
      <w:lvlJc w:val="left"/>
      <w:pPr>
        <w:tabs>
          <w:tab w:val="num" w:pos="3600"/>
        </w:tabs>
        <w:ind w:left="3600" w:hanging="360"/>
      </w:pPr>
      <w:rPr>
        <w:rFonts w:ascii="Arial" w:hAnsi="Arial" w:hint="default"/>
      </w:rPr>
    </w:lvl>
    <w:lvl w:ilvl="5" w:tplc="8EF6E60A" w:tentative="1">
      <w:start w:val="1"/>
      <w:numFmt w:val="bullet"/>
      <w:lvlText w:val="•"/>
      <w:lvlJc w:val="left"/>
      <w:pPr>
        <w:tabs>
          <w:tab w:val="num" w:pos="4320"/>
        </w:tabs>
        <w:ind w:left="4320" w:hanging="360"/>
      </w:pPr>
      <w:rPr>
        <w:rFonts w:ascii="Arial" w:hAnsi="Arial" w:hint="default"/>
      </w:rPr>
    </w:lvl>
    <w:lvl w:ilvl="6" w:tplc="92BCB4D0" w:tentative="1">
      <w:start w:val="1"/>
      <w:numFmt w:val="bullet"/>
      <w:lvlText w:val="•"/>
      <w:lvlJc w:val="left"/>
      <w:pPr>
        <w:tabs>
          <w:tab w:val="num" w:pos="5040"/>
        </w:tabs>
        <w:ind w:left="5040" w:hanging="360"/>
      </w:pPr>
      <w:rPr>
        <w:rFonts w:ascii="Arial" w:hAnsi="Arial" w:hint="default"/>
      </w:rPr>
    </w:lvl>
    <w:lvl w:ilvl="7" w:tplc="199AA9C4" w:tentative="1">
      <w:start w:val="1"/>
      <w:numFmt w:val="bullet"/>
      <w:lvlText w:val="•"/>
      <w:lvlJc w:val="left"/>
      <w:pPr>
        <w:tabs>
          <w:tab w:val="num" w:pos="5760"/>
        </w:tabs>
        <w:ind w:left="5760" w:hanging="360"/>
      </w:pPr>
      <w:rPr>
        <w:rFonts w:ascii="Arial" w:hAnsi="Arial" w:hint="default"/>
      </w:rPr>
    </w:lvl>
    <w:lvl w:ilvl="8" w:tplc="4434F0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4B2D12"/>
    <w:multiLevelType w:val="hybridMultilevel"/>
    <w:tmpl w:val="1EFE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20C5B"/>
    <w:multiLevelType w:val="multilevel"/>
    <w:tmpl w:val="40EC0FB6"/>
    <w:lvl w:ilvl="0">
      <w:start w:val="4"/>
      <w:numFmt w:val="decimal"/>
      <w:lvlText w:val="%1."/>
      <w:lvlJc w:val="left"/>
      <w:pPr>
        <w:ind w:left="369" w:hanging="269"/>
        <w:jc w:val="right"/>
      </w:pPr>
      <w:rPr>
        <w:rFonts w:ascii="Arial" w:eastAsia="Arial" w:hAnsi="Arial" w:cs="Arial" w:hint="default"/>
        <w:b/>
        <w:bCs/>
        <w:color w:val="365F91"/>
        <w:spacing w:val="-8"/>
        <w:w w:val="99"/>
        <w:sz w:val="24"/>
        <w:szCs w:val="24"/>
      </w:rPr>
    </w:lvl>
    <w:lvl w:ilvl="1">
      <w:start w:val="1"/>
      <w:numFmt w:val="decimal"/>
      <w:lvlText w:val="%1.%2"/>
      <w:lvlJc w:val="left"/>
      <w:pPr>
        <w:ind w:left="221" w:hanging="535"/>
        <w:jc w:val="left"/>
      </w:pPr>
      <w:rPr>
        <w:rFonts w:hint="default"/>
        <w:spacing w:val="-6"/>
        <w:w w:val="99"/>
      </w:rPr>
    </w:lvl>
    <w:lvl w:ilvl="2">
      <w:numFmt w:val="bullet"/>
      <w:lvlText w:val=""/>
      <w:lvlJc w:val="left"/>
      <w:pPr>
        <w:ind w:left="922" w:hanging="535"/>
      </w:pPr>
      <w:rPr>
        <w:rFonts w:ascii="Symbol" w:eastAsia="Symbol" w:hAnsi="Symbol" w:cs="Symbol" w:hint="default"/>
        <w:w w:val="100"/>
        <w:sz w:val="24"/>
        <w:szCs w:val="24"/>
      </w:rPr>
    </w:lvl>
    <w:lvl w:ilvl="3">
      <w:numFmt w:val="bullet"/>
      <w:lvlText w:val="o"/>
      <w:lvlJc w:val="left"/>
      <w:pPr>
        <w:ind w:left="1642" w:hanging="535"/>
      </w:pPr>
      <w:rPr>
        <w:rFonts w:ascii="Courier New" w:eastAsia="Courier New" w:hAnsi="Courier New" w:cs="Courier New" w:hint="default"/>
        <w:w w:val="100"/>
        <w:sz w:val="24"/>
        <w:szCs w:val="24"/>
      </w:rPr>
    </w:lvl>
    <w:lvl w:ilvl="4">
      <w:numFmt w:val="bullet"/>
      <w:lvlText w:val="•"/>
      <w:lvlJc w:val="left"/>
      <w:pPr>
        <w:ind w:left="1640" w:hanging="535"/>
      </w:pPr>
      <w:rPr>
        <w:rFonts w:hint="default"/>
      </w:rPr>
    </w:lvl>
    <w:lvl w:ilvl="5">
      <w:numFmt w:val="bullet"/>
      <w:lvlText w:val="•"/>
      <w:lvlJc w:val="left"/>
      <w:pPr>
        <w:ind w:left="3135" w:hanging="535"/>
      </w:pPr>
      <w:rPr>
        <w:rFonts w:hint="default"/>
      </w:rPr>
    </w:lvl>
    <w:lvl w:ilvl="6">
      <w:numFmt w:val="bullet"/>
      <w:lvlText w:val="•"/>
      <w:lvlJc w:val="left"/>
      <w:pPr>
        <w:ind w:left="4630" w:hanging="535"/>
      </w:pPr>
      <w:rPr>
        <w:rFonts w:hint="default"/>
      </w:rPr>
    </w:lvl>
    <w:lvl w:ilvl="7">
      <w:numFmt w:val="bullet"/>
      <w:lvlText w:val="•"/>
      <w:lvlJc w:val="left"/>
      <w:pPr>
        <w:ind w:left="6125" w:hanging="535"/>
      </w:pPr>
      <w:rPr>
        <w:rFonts w:hint="default"/>
      </w:rPr>
    </w:lvl>
    <w:lvl w:ilvl="8">
      <w:numFmt w:val="bullet"/>
      <w:lvlText w:val="•"/>
      <w:lvlJc w:val="left"/>
      <w:pPr>
        <w:ind w:left="7620" w:hanging="535"/>
      </w:pPr>
      <w:rPr>
        <w:rFonts w:hint="default"/>
      </w:rPr>
    </w:lvl>
  </w:abstractNum>
  <w:abstractNum w:abstractNumId="25" w15:restartNumberingAfterBreak="0">
    <w:nsid w:val="59CC3472"/>
    <w:multiLevelType w:val="hybridMultilevel"/>
    <w:tmpl w:val="578E44E4"/>
    <w:lvl w:ilvl="0" w:tplc="751417AC">
      <w:numFmt w:val="bullet"/>
      <w:lvlText w:val=""/>
      <w:lvlJc w:val="left"/>
      <w:pPr>
        <w:ind w:left="942" w:hanging="360"/>
      </w:pPr>
      <w:rPr>
        <w:rFonts w:ascii="Symbol" w:eastAsia="Symbol" w:hAnsi="Symbol" w:cs="Symbol" w:hint="default"/>
        <w:w w:val="98"/>
        <w:sz w:val="24"/>
        <w:szCs w:val="24"/>
      </w:rPr>
    </w:lvl>
    <w:lvl w:ilvl="1" w:tplc="8F2ADB38">
      <w:numFmt w:val="bullet"/>
      <w:lvlText w:val="•"/>
      <w:lvlJc w:val="left"/>
      <w:pPr>
        <w:ind w:left="1909" w:hanging="360"/>
      </w:pPr>
      <w:rPr>
        <w:rFonts w:hint="default"/>
      </w:rPr>
    </w:lvl>
    <w:lvl w:ilvl="2" w:tplc="982AEC96">
      <w:numFmt w:val="bullet"/>
      <w:lvlText w:val="•"/>
      <w:lvlJc w:val="left"/>
      <w:pPr>
        <w:ind w:left="2878" w:hanging="360"/>
      </w:pPr>
      <w:rPr>
        <w:rFonts w:hint="default"/>
      </w:rPr>
    </w:lvl>
    <w:lvl w:ilvl="3" w:tplc="CED0AEBA">
      <w:numFmt w:val="bullet"/>
      <w:lvlText w:val="•"/>
      <w:lvlJc w:val="left"/>
      <w:pPr>
        <w:ind w:left="3847" w:hanging="360"/>
      </w:pPr>
      <w:rPr>
        <w:rFonts w:hint="default"/>
      </w:rPr>
    </w:lvl>
    <w:lvl w:ilvl="4" w:tplc="8CA4F110">
      <w:numFmt w:val="bullet"/>
      <w:lvlText w:val="•"/>
      <w:lvlJc w:val="left"/>
      <w:pPr>
        <w:ind w:left="4816" w:hanging="360"/>
      </w:pPr>
      <w:rPr>
        <w:rFonts w:hint="default"/>
      </w:rPr>
    </w:lvl>
    <w:lvl w:ilvl="5" w:tplc="82489820">
      <w:numFmt w:val="bullet"/>
      <w:lvlText w:val="•"/>
      <w:lvlJc w:val="left"/>
      <w:pPr>
        <w:ind w:left="5785" w:hanging="360"/>
      </w:pPr>
      <w:rPr>
        <w:rFonts w:hint="default"/>
      </w:rPr>
    </w:lvl>
    <w:lvl w:ilvl="6" w:tplc="96FE1EFA">
      <w:numFmt w:val="bullet"/>
      <w:lvlText w:val="•"/>
      <w:lvlJc w:val="left"/>
      <w:pPr>
        <w:ind w:left="6754" w:hanging="360"/>
      </w:pPr>
      <w:rPr>
        <w:rFonts w:hint="default"/>
      </w:rPr>
    </w:lvl>
    <w:lvl w:ilvl="7" w:tplc="CDCEE7BA">
      <w:numFmt w:val="bullet"/>
      <w:lvlText w:val="•"/>
      <w:lvlJc w:val="left"/>
      <w:pPr>
        <w:ind w:left="7723" w:hanging="360"/>
      </w:pPr>
      <w:rPr>
        <w:rFonts w:hint="default"/>
      </w:rPr>
    </w:lvl>
    <w:lvl w:ilvl="8" w:tplc="7E94702A">
      <w:numFmt w:val="bullet"/>
      <w:lvlText w:val="•"/>
      <w:lvlJc w:val="left"/>
      <w:pPr>
        <w:ind w:left="8692" w:hanging="360"/>
      </w:pPr>
      <w:rPr>
        <w:rFonts w:hint="default"/>
      </w:rPr>
    </w:lvl>
  </w:abstractNum>
  <w:abstractNum w:abstractNumId="26" w15:restartNumberingAfterBreak="0">
    <w:nsid w:val="5D166A61"/>
    <w:multiLevelType w:val="hybridMultilevel"/>
    <w:tmpl w:val="9E4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12444"/>
    <w:multiLevelType w:val="hybridMultilevel"/>
    <w:tmpl w:val="1BF026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863094"/>
    <w:multiLevelType w:val="hybridMultilevel"/>
    <w:tmpl w:val="B51E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3"/>
  </w:num>
  <w:num w:numId="4">
    <w:abstractNumId w:val="20"/>
  </w:num>
  <w:num w:numId="5">
    <w:abstractNumId w:val="6"/>
  </w:num>
  <w:num w:numId="6">
    <w:abstractNumId w:val="7"/>
  </w:num>
  <w:num w:numId="7">
    <w:abstractNumId w:val="12"/>
  </w:num>
  <w:num w:numId="8">
    <w:abstractNumId w:val="4"/>
  </w:num>
  <w:num w:numId="9">
    <w:abstractNumId w:val="16"/>
  </w:num>
  <w:num w:numId="10">
    <w:abstractNumId w:val="9"/>
  </w:num>
  <w:num w:numId="11">
    <w:abstractNumId w:val="8"/>
  </w:num>
  <w:num w:numId="12">
    <w:abstractNumId w:val="28"/>
  </w:num>
  <w:num w:numId="13">
    <w:abstractNumId w:val="23"/>
  </w:num>
  <w:num w:numId="14">
    <w:abstractNumId w:val="17"/>
  </w:num>
  <w:num w:numId="15">
    <w:abstractNumId w:val="3"/>
  </w:num>
  <w:num w:numId="16">
    <w:abstractNumId w:val="15"/>
  </w:num>
  <w:num w:numId="17">
    <w:abstractNumId w:val="1"/>
  </w:num>
  <w:num w:numId="18">
    <w:abstractNumId w:val="10"/>
  </w:num>
  <w:num w:numId="19">
    <w:abstractNumId w:val="19"/>
  </w:num>
  <w:num w:numId="20">
    <w:abstractNumId w:val="0"/>
  </w:num>
  <w:num w:numId="21">
    <w:abstractNumId w:val="26"/>
  </w:num>
  <w:num w:numId="22">
    <w:abstractNumId w:val="18"/>
  </w:num>
  <w:num w:numId="23">
    <w:abstractNumId w:val="2"/>
  </w:num>
  <w:num w:numId="24">
    <w:abstractNumId w:val="21"/>
  </w:num>
  <w:num w:numId="25">
    <w:abstractNumId w:val="11"/>
  </w:num>
  <w:num w:numId="26">
    <w:abstractNumId w:val="14"/>
  </w:num>
  <w:num w:numId="27">
    <w:abstractNumId w:val="5"/>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37"/>
    <w:rsid w:val="00007156"/>
    <w:rsid w:val="00010C96"/>
    <w:rsid w:val="00013A8F"/>
    <w:rsid w:val="00027556"/>
    <w:rsid w:val="00030339"/>
    <w:rsid w:val="00041740"/>
    <w:rsid w:val="000436FB"/>
    <w:rsid w:val="00046A56"/>
    <w:rsid w:val="00055B9D"/>
    <w:rsid w:val="00057E2A"/>
    <w:rsid w:val="00073890"/>
    <w:rsid w:val="000A30AB"/>
    <w:rsid w:val="000B4310"/>
    <w:rsid w:val="000C7EF0"/>
    <w:rsid w:val="000D409F"/>
    <w:rsid w:val="00100C1B"/>
    <w:rsid w:val="0012064E"/>
    <w:rsid w:val="00124780"/>
    <w:rsid w:val="00124BBE"/>
    <w:rsid w:val="00142CF5"/>
    <w:rsid w:val="001477EA"/>
    <w:rsid w:val="00154B20"/>
    <w:rsid w:val="001569CB"/>
    <w:rsid w:val="00160A85"/>
    <w:rsid w:val="001753DB"/>
    <w:rsid w:val="00190A4E"/>
    <w:rsid w:val="00190C4A"/>
    <w:rsid w:val="001A339B"/>
    <w:rsid w:val="001C3837"/>
    <w:rsid w:val="001C5415"/>
    <w:rsid w:val="002046B7"/>
    <w:rsid w:val="002068AC"/>
    <w:rsid w:val="00207F52"/>
    <w:rsid w:val="00214ED2"/>
    <w:rsid w:val="00215F34"/>
    <w:rsid w:val="002168B7"/>
    <w:rsid w:val="00224FDE"/>
    <w:rsid w:val="00225536"/>
    <w:rsid w:val="00232B84"/>
    <w:rsid w:val="00233EB0"/>
    <w:rsid w:val="002477C3"/>
    <w:rsid w:val="00254D07"/>
    <w:rsid w:val="002871D6"/>
    <w:rsid w:val="002875F7"/>
    <w:rsid w:val="002963AB"/>
    <w:rsid w:val="002A70E5"/>
    <w:rsid w:val="002B59C8"/>
    <w:rsid w:val="002D6B49"/>
    <w:rsid w:val="002E7CFB"/>
    <w:rsid w:val="00311205"/>
    <w:rsid w:val="0031261D"/>
    <w:rsid w:val="003216E6"/>
    <w:rsid w:val="00324E3F"/>
    <w:rsid w:val="00325629"/>
    <w:rsid w:val="00347FE7"/>
    <w:rsid w:val="0035144C"/>
    <w:rsid w:val="00351555"/>
    <w:rsid w:val="0036066C"/>
    <w:rsid w:val="00361A80"/>
    <w:rsid w:val="003624D7"/>
    <w:rsid w:val="00367C0D"/>
    <w:rsid w:val="003775D7"/>
    <w:rsid w:val="0039786B"/>
    <w:rsid w:val="003B075A"/>
    <w:rsid w:val="003C3A8D"/>
    <w:rsid w:val="003C4514"/>
    <w:rsid w:val="003E0AAD"/>
    <w:rsid w:val="004000D7"/>
    <w:rsid w:val="00411978"/>
    <w:rsid w:val="00432CA2"/>
    <w:rsid w:val="00437F85"/>
    <w:rsid w:val="004424A9"/>
    <w:rsid w:val="00453FC0"/>
    <w:rsid w:val="0046012E"/>
    <w:rsid w:val="0046137E"/>
    <w:rsid w:val="0047094A"/>
    <w:rsid w:val="004A2B96"/>
    <w:rsid w:val="004A7AA4"/>
    <w:rsid w:val="004C5E58"/>
    <w:rsid w:val="004D1603"/>
    <w:rsid w:val="004D6178"/>
    <w:rsid w:val="004D7A99"/>
    <w:rsid w:val="004E20D4"/>
    <w:rsid w:val="004F5DA1"/>
    <w:rsid w:val="00504E43"/>
    <w:rsid w:val="00512AFE"/>
    <w:rsid w:val="005A0547"/>
    <w:rsid w:val="005B58B7"/>
    <w:rsid w:val="005D0E68"/>
    <w:rsid w:val="005D7BA9"/>
    <w:rsid w:val="005F17FD"/>
    <w:rsid w:val="005F327D"/>
    <w:rsid w:val="00612252"/>
    <w:rsid w:val="006437CD"/>
    <w:rsid w:val="006579EF"/>
    <w:rsid w:val="00661E4D"/>
    <w:rsid w:val="00677072"/>
    <w:rsid w:val="00682D7A"/>
    <w:rsid w:val="00690ECF"/>
    <w:rsid w:val="00694491"/>
    <w:rsid w:val="00697A6E"/>
    <w:rsid w:val="006B094A"/>
    <w:rsid w:val="006B788D"/>
    <w:rsid w:val="006B7ABA"/>
    <w:rsid w:val="006C22DF"/>
    <w:rsid w:val="006C68CE"/>
    <w:rsid w:val="006D1DCF"/>
    <w:rsid w:val="0071278E"/>
    <w:rsid w:val="007466A2"/>
    <w:rsid w:val="00774F8F"/>
    <w:rsid w:val="00781F3C"/>
    <w:rsid w:val="007827AD"/>
    <w:rsid w:val="007908F4"/>
    <w:rsid w:val="007A0361"/>
    <w:rsid w:val="007B2B2C"/>
    <w:rsid w:val="007C155D"/>
    <w:rsid w:val="007C5C7A"/>
    <w:rsid w:val="007D0AC2"/>
    <w:rsid w:val="007D5B19"/>
    <w:rsid w:val="007E7036"/>
    <w:rsid w:val="008144A3"/>
    <w:rsid w:val="00815B21"/>
    <w:rsid w:val="00820066"/>
    <w:rsid w:val="00836F6E"/>
    <w:rsid w:val="008647E9"/>
    <w:rsid w:val="008812B4"/>
    <w:rsid w:val="008A22C6"/>
    <w:rsid w:val="008B292A"/>
    <w:rsid w:val="008B51E8"/>
    <w:rsid w:val="008B5A91"/>
    <w:rsid w:val="008C335E"/>
    <w:rsid w:val="008C3548"/>
    <w:rsid w:val="008C7845"/>
    <w:rsid w:val="008D21F1"/>
    <w:rsid w:val="008D76DF"/>
    <w:rsid w:val="008D7D79"/>
    <w:rsid w:val="008E0304"/>
    <w:rsid w:val="008F1439"/>
    <w:rsid w:val="008F5626"/>
    <w:rsid w:val="00901BB3"/>
    <w:rsid w:val="009120AF"/>
    <w:rsid w:val="00940B42"/>
    <w:rsid w:val="00944D24"/>
    <w:rsid w:val="00951A6D"/>
    <w:rsid w:val="009537BE"/>
    <w:rsid w:val="00960E7A"/>
    <w:rsid w:val="00974A76"/>
    <w:rsid w:val="00975DF9"/>
    <w:rsid w:val="009C69DC"/>
    <w:rsid w:val="00A0684F"/>
    <w:rsid w:val="00A07682"/>
    <w:rsid w:val="00A12261"/>
    <w:rsid w:val="00A159DD"/>
    <w:rsid w:val="00A333BE"/>
    <w:rsid w:val="00A4503B"/>
    <w:rsid w:val="00A51F40"/>
    <w:rsid w:val="00A5759F"/>
    <w:rsid w:val="00A72609"/>
    <w:rsid w:val="00A7293B"/>
    <w:rsid w:val="00A85A6C"/>
    <w:rsid w:val="00A85C7A"/>
    <w:rsid w:val="00AB201D"/>
    <w:rsid w:val="00AD3D45"/>
    <w:rsid w:val="00AE393A"/>
    <w:rsid w:val="00AF1CD2"/>
    <w:rsid w:val="00AF6EE7"/>
    <w:rsid w:val="00B0138C"/>
    <w:rsid w:val="00B03165"/>
    <w:rsid w:val="00B11FEF"/>
    <w:rsid w:val="00B16250"/>
    <w:rsid w:val="00B16A73"/>
    <w:rsid w:val="00B257F4"/>
    <w:rsid w:val="00B25FEB"/>
    <w:rsid w:val="00B469B1"/>
    <w:rsid w:val="00B570D8"/>
    <w:rsid w:val="00B86365"/>
    <w:rsid w:val="00BB7F51"/>
    <w:rsid w:val="00BC0844"/>
    <w:rsid w:val="00BC115B"/>
    <w:rsid w:val="00BD5C9C"/>
    <w:rsid w:val="00BE7706"/>
    <w:rsid w:val="00BF6E25"/>
    <w:rsid w:val="00C07F80"/>
    <w:rsid w:val="00C17FA6"/>
    <w:rsid w:val="00C2495F"/>
    <w:rsid w:val="00C26230"/>
    <w:rsid w:val="00C2710D"/>
    <w:rsid w:val="00C3111B"/>
    <w:rsid w:val="00C571B0"/>
    <w:rsid w:val="00C728C8"/>
    <w:rsid w:val="00C927D0"/>
    <w:rsid w:val="00CA292C"/>
    <w:rsid w:val="00CB7AA5"/>
    <w:rsid w:val="00CB7D43"/>
    <w:rsid w:val="00CC1957"/>
    <w:rsid w:val="00CC2C25"/>
    <w:rsid w:val="00CC36A6"/>
    <w:rsid w:val="00D33D64"/>
    <w:rsid w:val="00D3650C"/>
    <w:rsid w:val="00D40993"/>
    <w:rsid w:val="00D54752"/>
    <w:rsid w:val="00D64858"/>
    <w:rsid w:val="00D71229"/>
    <w:rsid w:val="00D74E3F"/>
    <w:rsid w:val="00D96BB7"/>
    <w:rsid w:val="00DA5A61"/>
    <w:rsid w:val="00DB3820"/>
    <w:rsid w:val="00DB5512"/>
    <w:rsid w:val="00DC0947"/>
    <w:rsid w:val="00DD42A4"/>
    <w:rsid w:val="00DF4F26"/>
    <w:rsid w:val="00E0068B"/>
    <w:rsid w:val="00E1446D"/>
    <w:rsid w:val="00E20913"/>
    <w:rsid w:val="00E31852"/>
    <w:rsid w:val="00E43469"/>
    <w:rsid w:val="00E45957"/>
    <w:rsid w:val="00E519C7"/>
    <w:rsid w:val="00E65B6A"/>
    <w:rsid w:val="00E9415D"/>
    <w:rsid w:val="00EA4C25"/>
    <w:rsid w:val="00EB6C14"/>
    <w:rsid w:val="00ED357A"/>
    <w:rsid w:val="00EE64C0"/>
    <w:rsid w:val="00F12054"/>
    <w:rsid w:val="00F139DD"/>
    <w:rsid w:val="00F338F8"/>
    <w:rsid w:val="00F37CDB"/>
    <w:rsid w:val="00F40F83"/>
    <w:rsid w:val="00F54A9F"/>
    <w:rsid w:val="00F732E6"/>
    <w:rsid w:val="00F950C5"/>
    <w:rsid w:val="00F96249"/>
    <w:rsid w:val="00FA3FED"/>
    <w:rsid w:val="00FB1B2F"/>
    <w:rsid w:val="00FC239B"/>
    <w:rsid w:val="00FC3C64"/>
    <w:rsid w:val="00FC5B73"/>
    <w:rsid w:val="00FD3A85"/>
    <w:rsid w:val="00FE6D34"/>
    <w:rsid w:val="00FF009D"/>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B140B"/>
  <w15:chartTrackingRefBased/>
  <w15:docId w15:val="{8923B131-4B1E-40F8-8C0D-B60CD8DD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37"/>
  </w:style>
  <w:style w:type="paragraph" w:styleId="Heading1">
    <w:name w:val="heading 1"/>
    <w:basedOn w:val="Normal"/>
    <w:next w:val="Normal"/>
    <w:link w:val="Heading1Char"/>
    <w:uiPriority w:val="9"/>
    <w:qFormat/>
    <w:rsid w:val="001C3837"/>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C3837"/>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C3837"/>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1C3837"/>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1C3837"/>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1C3837"/>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1C3837"/>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1C38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38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837"/>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1C3837"/>
    <w:rPr>
      <w:caps/>
      <w:spacing w:val="15"/>
      <w:shd w:val="clear" w:color="auto" w:fill="D9DFEF" w:themeFill="accent1" w:themeFillTint="33"/>
    </w:rPr>
  </w:style>
  <w:style w:type="character" w:customStyle="1" w:styleId="Heading3Char">
    <w:name w:val="Heading 3 Char"/>
    <w:basedOn w:val="DefaultParagraphFont"/>
    <w:link w:val="Heading3"/>
    <w:uiPriority w:val="9"/>
    <w:rsid w:val="001C3837"/>
    <w:rPr>
      <w:caps/>
      <w:color w:val="243255" w:themeColor="accent1" w:themeShade="7F"/>
      <w:spacing w:val="15"/>
    </w:rPr>
  </w:style>
  <w:style w:type="character" w:customStyle="1" w:styleId="Heading4Char">
    <w:name w:val="Heading 4 Char"/>
    <w:basedOn w:val="DefaultParagraphFont"/>
    <w:link w:val="Heading4"/>
    <w:uiPriority w:val="9"/>
    <w:rsid w:val="001C3837"/>
    <w:rPr>
      <w:caps/>
      <w:color w:val="374C80" w:themeColor="accent1" w:themeShade="BF"/>
      <w:spacing w:val="10"/>
    </w:rPr>
  </w:style>
  <w:style w:type="character" w:customStyle="1" w:styleId="Heading5Char">
    <w:name w:val="Heading 5 Char"/>
    <w:basedOn w:val="DefaultParagraphFont"/>
    <w:link w:val="Heading5"/>
    <w:uiPriority w:val="9"/>
    <w:semiHidden/>
    <w:rsid w:val="001C3837"/>
    <w:rPr>
      <w:caps/>
      <w:color w:val="374C80" w:themeColor="accent1" w:themeShade="BF"/>
      <w:spacing w:val="10"/>
    </w:rPr>
  </w:style>
  <w:style w:type="character" w:customStyle="1" w:styleId="Heading6Char">
    <w:name w:val="Heading 6 Char"/>
    <w:basedOn w:val="DefaultParagraphFont"/>
    <w:link w:val="Heading6"/>
    <w:uiPriority w:val="9"/>
    <w:semiHidden/>
    <w:rsid w:val="001C3837"/>
    <w:rPr>
      <w:caps/>
      <w:color w:val="374C80" w:themeColor="accent1" w:themeShade="BF"/>
      <w:spacing w:val="10"/>
    </w:rPr>
  </w:style>
  <w:style w:type="character" w:customStyle="1" w:styleId="Heading7Char">
    <w:name w:val="Heading 7 Char"/>
    <w:basedOn w:val="DefaultParagraphFont"/>
    <w:link w:val="Heading7"/>
    <w:uiPriority w:val="9"/>
    <w:semiHidden/>
    <w:rsid w:val="001C3837"/>
    <w:rPr>
      <w:caps/>
      <w:color w:val="374C80" w:themeColor="accent1" w:themeShade="BF"/>
      <w:spacing w:val="10"/>
    </w:rPr>
  </w:style>
  <w:style w:type="character" w:customStyle="1" w:styleId="Heading8Char">
    <w:name w:val="Heading 8 Char"/>
    <w:basedOn w:val="DefaultParagraphFont"/>
    <w:link w:val="Heading8"/>
    <w:uiPriority w:val="9"/>
    <w:semiHidden/>
    <w:rsid w:val="001C3837"/>
    <w:rPr>
      <w:caps/>
      <w:spacing w:val="10"/>
      <w:sz w:val="18"/>
      <w:szCs w:val="18"/>
    </w:rPr>
  </w:style>
  <w:style w:type="character" w:customStyle="1" w:styleId="Heading9Char">
    <w:name w:val="Heading 9 Char"/>
    <w:basedOn w:val="DefaultParagraphFont"/>
    <w:link w:val="Heading9"/>
    <w:uiPriority w:val="9"/>
    <w:semiHidden/>
    <w:rsid w:val="001C3837"/>
    <w:rPr>
      <w:i/>
      <w:iCs/>
      <w:caps/>
      <w:spacing w:val="10"/>
      <w:sz w:val="18"/>
      <w:szCs w:val="18"/>
    </w:rPr>
  </w:style>
  <w:style w:type="paragraph" w:styleId="Caption">
    <w:name w:val="caption"/>
    <w:basedOn w:val="Normal"/>
    <w:next w:val="Normal"/>
    <w:uiPriority w:val="35"/>
    <w:semiHidden/>
    <w:unhideWhenUsed/>
    <w:qFormat/>
    <w:rsid w:val="001C3837"/>
    <w:rPr>
      <w:b/>
      <w:bCs/>
      <w:color w:val="374C80" w:themeColor="accent1" w:themeShade="BF"/>
      <w:sz w:val="16"/>
      <w:szCs w:val="16"/>
    </w:rPr>
  </w:style>
  <w:style w:type="paragraph" w:styleId="Title">
    <w:name w:val="Title"/>
    <w:basedOn w:val="Normal"/>
    <w:next w:val="Normal"/>
    <w:link w:val="TitleChar"/>
    <w:uiPriority w:val="10"/>
    <w:qFormat/>
    <w:rsid w:val="001C3837"/>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1C3837"/>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1C38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C3837"/>
    <w:rPr>
      <w:caps/>
      <w:color w:val="595959" w:themeColor="text1" w:themeTint="A6"/>
      <w:spacing w:val="10"/>
      <w:sz w:val="21"/>
      <w:szCs w:val="21"/>
    </w:rPr>
  </w:style>
  <w:style w:type="character" w:styleId="Strong">
    <w:name w:val="Strong"/>
    <w:uiPriority w:val="22"/>
    <w:qFormat/>
    <w:rsid w:val="001C3837"/>
    <w:rPr>
      <w:b/>
      <w:bCs/>
    </w:rPr>
  </w:style>
  <w:style w:type="character" w:styleId="Emphasis">
    <w:name w:val="Emphasis"/>
    <w:uiPriority w:val="20"/>
    <w:qFormat/>
    <w:rsid w:val="001C3837"/>
    <w:rPr>
      <w:caps/>
      <w:color w:val="243255" w:themeColor="accent1" w:themeShade="7F"/>
      <w:spacing w:val="5"/>
    </w:rPr>
  </w:style>
  <w:style w:type="paragraph" w:styleId="NoSpacing">
    <w:name w:val="No Spacing"/>
    <w:link w:val="NoSpacingChar"/>
    <w:uiPriority w:val="1"/>
    <w:qFormat/>
    <w:rsid w:val="001C3837"/>
    <w:pPr>
      <w:spacing w:after="0" w:line="240" w:lineRule="auto"/>
    </w:pPr>
  </w:style>
  <w:style w:type="paragraph" w:styleId="Quote">
    <w:name w:val="Quote"/>
    <w:basedOn w:val="Normal"/>
    <w:next w:val="Normal"/>
    <w:link w:val="QuoteChar"/>
    <w:uiPriority w:val="29"/>
    <w:qFormat/>
    <w:rsid w:val="001C3837"/>
    <w:rPr>
      <w:i/>
      <w:iCs/>
      <w:sz w:val="24"/>
      <w:szCs w:val="24"/>
    </w:rPr>
  </w:style>
  <w:style w:type="character" w:customStyle="1" w:styleId="QuoteChar">
    <w:name w:val="Quote Char"/>
    <w:basedOn w:val="DefaultParagraphFont"/>
    <w:link w:val="Quote"/>
    <w:uiPriority w:val="29"/>
    <w:rsid w:val="001C3837"/>
    <w:rPr>
      <w:i/>
      <w:iCs/>
      <w:sz w:val="24"/>
      <w:szCs w:val="24"/>
    </w:rPr>
  </w:style>
  <w:style w:type="paragraph" w:styleId="IntenseQuote">
    <w:name w:val="Intense Quote"/>
    <w:basedOn w:val="Normal"/>
    <w:next w:val="Normal"/>
    <w:link w:val="IntenseQuoteChar"/>
    <w:uiPriority w:val="30"/>
    <w:qFormat/>
    <w:rsid w:val="001C3837"/>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1C3837"/>
    <w:rPr>
      <w:color w:val="4A66AC" w:themeColor="accent1"/>
      <w:sz w:val="24"/>
      <w:szCs w:val="24"/>
    </w:rPr>
  </w:style>
  <w:style w:type="character" w:styleId="SubtleEmphasis">
    <w:name w:val="Subtle Emphasis"/>
    <w:uiPriority w:val="19"/>
    <w:qFormat/>
    <w:rsid w:val="001C3837"/>
    <w:rPr>
      <w:i/>
      <w:iCs/>
      <w:color w:val="243255" w:themeColor="accent1" w:themeShade="7F"/>
    </w:rPr>
  </w:style>
  <w:style w:type="character" w:styleId="IntenseEmphasis">
    <w:name w:val="Intense Emphasis"/>
    <w:uiPriority w:val="21"/>
    <w:qFormat/>
    <w:rsid w:val="001C3837"/>
    <w:rPr>
      <w:b/>
      <w:bCs/>
      <w:caps/>
      <w:color w:val="243255" w:themeColor="accent1" w:themeShade="7F"/>
      <w:spacing w:val="10"/>
    </w:rPr>
  </w:style>
  <w:style w:type="character" w:styleId="SubtleReference">
    <w:name w:val="Subtle Reference"/>
    <w:uiPriority w:val="31"/>
    <w:qFormat/>
    <w:rsid w:val="001C3837"/>
    <w:rPr>
      <w:b/>
      <w:bCs/>
      <w:color w:val="4A66AC" w:themeColor="accent1"/>
    </w:rPr>
  </w:style>
  <w:style w:type="character" w:styleId="IntenseReference">
    <w:name w:val="Intense Reference"/>
    <w:uiPriority w:val="32"/>
    <w:qFormat/>
    <w:rsid w:val="001C3837"/>
    <w:rPr>
      <w:b/>
      <w:bCs/>
      <w:i/>
      <w:iCs/>
      <w:caps/>
      <w:color w:val="4A66AC" w:themeColor="accent1"/>
    </w:rPr>
  </w:style>
  <w:style w:type="character" w:styleId="BookTitle">
    <w:name w:val="Book Title"/>
    <w:uiPriority w:val="33"/>
    <w:qFormat/>
    <w:rsid w:val="001C3837"/>
    <w:rPr>
      <w:b/>
      <w:bCs/>
      <w:i/>
      <w:iCs/>
      <w:spacing w:val="0"/>
    </w:rPr>
  </w:style>
  <w:style w:type="paragraph" w:styleId="TOCHeading">
    <w:name w:val="TOC Heading"/>
    <w:basedOn w:val="Heading1"/>
    <w:next w:val="Normal"/>
    <w:uiPriority w:val="39"/>
    <w:unhideWhenUsed/>
    <w:qFormat/>
    <w:rsid w:val="001C3837"/>
    <w:pPr>
      <w:outlineLvl w:val="9"/>
    </w:pPr>
  </w:style>
  <w:style w:type="character" w:customStyle="1" w:styleId="NoSpacingChar">
    <w:name w:val="No Spacing Char"/>
    <w:basedOn w:val="DefaultParagraphFont"/>
    <w:link w:val="NoSpacing"/>
    <w:uiPriority w:val="1"/>
    <w:rsid w:val="001C3837"/>
  </w:style>
  <w:style w:type="paragraph" w:styleId="Header">
    <w:name w:val="header"/>
    <w:basedOn w:val="Normal"/>
    <w:link w:val="HeaderChar"/>
    <w:uiPriority w:val="99"/>
    <w:unhideWhenUsed/>
    <w:rsid w:val="003E0A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E0AAD"/>
  </w:style>
  <w:style w:type="paragraph" w:styleId="Footer">
    <w:name w:val="footer"/>
    <w:basedOn w:val="Normal"/>
    <w:link w:val="FooterChar"/>
    <w:uiPriority w:val="99"/>
    <w:unhideWhenUsed/>
    <w:rsid w:val="003E0A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E0AAD"/>
  </w:style>
  <w:style w:type="paragraph" w:styleId="TOC1">
    <w:name w:val="toc 1"/>
    <w:basedOn w:val="Normal"/>
    <w:next w:val="Normal"/>
    <w:autoRedefine/>
    <w:uiPriority w:val="39"/>
    <w:unhideWhenUsed/>
    <w:rsid w:val="00CA292C"/>
    <w:pPr>
      <w:tabs>
        <w:tab w:val="right" w:leader="dot" w:pos="9016"/>
      </w:tabs>
      <w:spacing w:after="100"/>
    </w:pPr>
  </w:style>
  <w:style w:type="character" w:styleId="Hyperlink">
    <w:name w:val="Hyperlink"/>
    <w:basedOn w:val="DefaultParagraphFont"/>
    <w:uiPriority w:val="99"/>
    <w:unhideWhenUsed/>
    <w:rsid w:val="007C5C7A"/>
    <w:rPr>
      <w:color w:val="9454C3" w:themeColor="hyperlink"/>
      <w:u w:val="single"/>
    </w:rPr>
  </w:style>
  <w:style w:type="paragraph" w:styleId="TOC2">
    <w:name w:val="toc 2"/>
    <w:basedOn w:val="Normal"/>
    <w:next w:val="Normal"/>
    <w:autoRedefine/>
    <w:uiPriority w:val="39"/>
    <w:unhideWhenUsed/>
    <w:rsid w:val="007C5C7A"/>
    <w:pPr>
      <w:spacing w:after="100"/>
      <w:ind w:left="200"/>
    </w:pPr>
  </w:style>
  <w:style w:type="paragraph" w:styleId="ListParagraph">
    <w:name w:val="List Paragraph"/>
    <w:basedOn w:val="Normal"/>
    <w:link w:val="ListParagraphChar"/>
    <w:uiPriority w:val="1"/>
    <w:qFormat/>
    <w:rsid w:val="000436FB"/>
    <w:pPr>
      <w:spacing w:before="0" w:after="0" w:line="240" w:lineRule="auto"/>
      <w:ind w:left="720"/>
      <w:contextualSpacing/>
    </w:pPr>
    <w:rPr>
      <w:rFonts w:ascii="Arial" w:eastAsiaTheme="minorHAnsi" w:hAnsi="Arial" w:cs="Arial"/>
      <w:sz w:val="24"/>
      <w:szCs w:val="24"/>
    </w:rPr>
  </w:style>
  <w:style w:type="character" w:customStyle="1" w:styleId="ListParagraphChar">
    <w:name w:val="List Paragraph Char"/>
    <w:link w:val="ListParagraph"/>
    <w:uiPriority w:val="34"/>
    <w:locked/>
    <w:rsid w:val="000436FB"/>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46A56"/>
    <w:rPr>
      <w:sz w:val="16"/>
      <w:szCs w:val="16"/>
    </w:rPr>
  </w:style>
  <w:style w:type="paragraph" w:styleId="CommentText">
    <w:name w:val="annotation text"/>
    <w:basedOn w:val="Normal"/>
    <w:link w:val="CommentTextChar"/>
    <w:uiPriority w:val="99"/>
    <w:semiHidden/>
    <w:unhideWhenUsed/>
    <w:rsid w:val="00046A56"/>
    <w:pPr>
      <w:spacing w:before="0" w:after="0" w:line="240" w:lineRule="auto"/>
    </w:pPr>
    <w:rPr>
      <w:rFonts w:ascii="Arial" w:eastAsiaTheme="minorHAnsi" w:hAnsi="Arial" w:cs="Arial"/>
    </w:rPr>
  </w:style>
  <w:style w:type="character" w:customStyle="1" w:styleId="CommentTextChar">
    <w:name w:val="Comment Text Char"/>
    <w:basedOn w:val="DefaultParagraphFont"/>
    <w:link w:val="CommentText"/>
    <w:uiPriority w:val="99"/>
    <w:semiHidden/>
    <w:rsid w:val="00046A56"/>
    <w:rPr>
      <w:rFonts w:ascii="Arial" w:eastAsiaTheme="minorHAnsi" w:hAnsi="Arial" w:cs="Arial"/>
    </w:rPr>
  </w:style>
  <w:style w:type="paragraph" w:styleId="BalloonText">
    <w:name w:val="Balloon Text"/>
    <w:basedOn w:val="Normal"/>
    <w:link w:val="BalloonTextChar"/>
    <w:uiPriority w:val="99"/>
    <w:semiHidden/>
    <w:unhideWhenUsed/>
    <w:rsid w:val="00046A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56"/>
    <w:rPr>
      <w:rFonts w:ascii="Segoe UI" w:hAnsi="Segoe UI" w:cs="Segoe UI"/>
      <w:sz w:val="18"/>
      <w:szCs w:val="18"/>
    </w:rPr>
  </w:style>
  <w:style w:type="table" w:styleId="TableGrid">
    <w:name w:val="Table Grid"/>
    <w:basedOn w:val="TableNormal"/>
    <w:uiPriority w:val="59"/>
    <w:rsid w:val="00046A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7CDB"/>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027556"/>
    <w:rPr>
      <w:rFonts w:ascii="Arial" w:hAnsi="Arial"/>
      <w:b/>
      <w:color w:val="auto"/>
      <w:sz w:val="24"/>
    </w:rPr>
  </w:style>
  <w:style w:type="character" w:styleId="PlaceholderText">
    <w:name w:val="Placeholder Text"/>
    <w:basedOn w:val="DefaultParagraphFont"/>
    <w:uiPriority w:val="99"/>
    <w:semiHidden/>
    <w:rsid w:val="006437CD"/>
    <w:rPr>
      <w:color w:val="808080"/>
    </w:rPr>
  </w:style>
  <w:style w:type="paragraph" w:styleId="TOC3">
    <w:name w:val="toc 3"/>
    <w:basedOn w:val="Normal"/>
    <w:next w:val="Normal"/>
    <w:autoRedefine/>
    <w:uiPriority w:val="39"/>
    <w:unhideWhenUsed/>
    <w:rsid w:val="00232B84"/>
    <w:pPr>
      <w:spacing w:after="100"/>
      <w:ind w:left="400"/>
    </w:pPr>
  </w:style>
  <w:style w:type="paragraph" w:styleId="CommentSubject">
    <w:name w:val="annotation subject"/>
    <w:basedOn w:val="CommentText"/>
    <w:next w:val="CommentText"/>
    <w:link w:val="CommentSubjectChar"/>
    <w:uiPriority w:val="99"/>
    <w:semiHidden/>
    <w:unhideWhenUsed/>
    <w:rsid w:val="00DC0947"/>
    <w:pPr>
      <w:spacing w:before="1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C0947"/>
    <w:rPr>
      <w:rFonts w:ascii="Arial" w:eastAsiaTheme="minorHAnsi" w:hAnsi="Arial" w:cs="Arial"/>
      <w:b/>
      <w:bCs/>
    </w:rPr>
  </w:style>
  <w:style w:type="paragraph" w:styleId="Revision">
    <w:name w:val="Revision"/>
    <w:hidden/>
    <w:uiPriority w:val="99"/>
    <w:semiHidden/>
    <w:rsid w:val="002963AB"/>
    <w:pPr>
      <w:spacing w:before="0" w:after="0" w:line="240" w:lineRule="auto"/>
    </w:pPr>
  </w:style>
  <w:style w:type="paragraph" w:styleId="BodyText">
    <w:name w:val="Body Text"/>
    <w:basedOn w:val="Normal"/>
    <w:link w:val="BodyTextChar"/>
    <w:uiPriority w:val="1"/>
    <w:qFormat/>
    <w:rsid w:val="004E20D4"/>
    <w:pPr>
      <w:widowControl w:val="0"/>
      <w:autoSpaceDE w:val="0"/>
      <w:autoSpaceDN w:val="0"/>
      <w:spacing w:before="0"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E20D4"/>
    <w:rPr>
      <w:rFonts w:ascii="Arial" w:eastAsia="Arial" w:hAnsi="Arial" w:cs="Arial"/>
      <w:sz w:val="24"/>
      <w:szCs w:val="24"/>
      <w:lang w:val="en-US"/>
    </w:rPr>
  </w:style>
  <w:style w:type="paragraph" w:styleId="FootnoteText">
    <w:name w:val="footnote text"/>
    <w:basedOn w:val="Normal"/>
    <w:link w:val="FootnoteTextChar"/>
    <w:uiPriority w:val="99"/>
    <w:semiHidden/>
    <w:unhideWhenUsed/>
    <w:rsid w:val="00BB7F51"/>
    <w:pPr>
      <w:spacing w:before="0" w:after="0" w:line="240" w:lineRule="auto"/>
    </w:pPr>
    <w:rPr>
      <w:rFonts w:ascii="Arial" w:eastAsiaTheme="minorHAnsi" w:hAnsi="Arial" w:cs="Arial"/>
    </w:rPr>
  </w:style>
  <w:style w:type="character" w:customStyle="1" w:styleId="FootnoteTextChar">
    <w:name w:val="Footnote Text Char"/>
    <w:basedOn w:val="DefaultParagraphFont"/>
    <w:link w:val="FootnoteText"/>
    <w:uiPriority w:val="99"/>
    <w:semiHidden/>
    <w:rsid w:val="00BB7F51"/>
    <w:rPr>
      <w:rFonts w:ascii="Arial" w:eastAsiaTheme="minorHAnsi" w:hAnsi="Arial" w:cs="Arial"/>
    </w:rPr>
  </w:style>
  <w:style w:type="character" w:styleId="FootnoteReference">
    <w:name w:val="footnote reference"/>
    <w:basedOn w:val="DefaultParagraphFont"/>
    <w:uiPriority w:val="99"/>
    <w:semiHidden/>
    <w:unhideWhenUsed/>
    <w:rsid w:val="00BB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7929">
      <w:bodyDiv w:val="1"/>
      <w:marLeft w:val="0"/>
      <w:marRight w:val="0"/>
      <w:marTop w:val="0"/>
      <w:marBottom w:val="0"/>
      <w:divBdr>
        <w:top w:val="none" w:sz="0" w:space="0" w:color="auto"/>
        <w:left w:val="none" w:sz="0" w:space="0" w:color="auto"/>
        <w:bottom w:val="none" w:sz="0" w:space="0" w:color="auto"/>
        <w:right w:val="none" w:sz="0" w:space="0" w:color="auto"/>
      </w:divBdr>
    </w:div>
    <w:div w:id="908463067">
      <w:bodyDiv w:val="1"/>
      <w:marLeft w:val="0"/>
      <w:marRight w:val="0"/>
      <w:marTop w:val="0"/>
      <w:marBottom w:val="0"/>
      <w:divBdr>
        <w:top w:val="none" w:sz="0" w:space="0" w:color="auto"/>
        <w:left w:val="none" w:sz="0" w:space="0" w:color="auto"/>
        <w:bottom w:val="none" w:sz="0" w:space="0" w:color="auto"/>
        <w:right w:val="none" w:sz="0" w:space="0" w:color="auto"/>
      </w:divBdr>
    </w:div>
    <w:div w:id="927274462">
      <w:bodyDiv w:val="1"/>
      <w:marLeft w:val="0"/>
      <w:marRight w:val="0"/>
      <w:marTop w:val="0"/>
      <w:marBottom w:val="0"/>
      <w:divBdr>
        <w:top w:val="none" w:sz="0" w:space="0" w:color="auto"/>
        <w:left w:val="none" w:sz="0" w:space="0" w:color="auto"/>
        <w:bottom w:val="none" w:sz="0" w:space="0" w:color="auto"/>
        <w:right w:val="none" w:sz="0" w:space="0" w:color="auto"/>
      </w:divBdr>
    </w:div>
    <w:div w:id="1027677937">
      <w:bodyDiv w:val="1"/>
      <w:marLeft w:val="0"/>
      <w:marRight w:val="0"/>
      <w:marTop w:val="0"/>
      <w:marBottom w:val="0"/>
      <w:divBdr>
        <w:top w:val="none" w:sz="0" w:space="0" w:color="auto"/>
        <w:left w:val="none" w:sz="0" w:space="0" w:color="auto"/>
        <w:bottom w:val="none" w:sz="0" w:space="0" w:color="auto"/>
        <w:right w:val="none" w:sz="0" w:space="0" w:color="auto"/>
      </w:divBdr>
    </w:div>
    <w:div w:id="1152984164">
      <w:bodyDiv w:val="1"/>
      <w:marLeft w:val="0"/>
      <w:marRight w:val="0"/>
      <w:marTop w:val="0"/>
      <w:marBottom w:val="0"/>
      <w:divBdr>
        <w:top w:val="none" w:sz="0" w:space="0" w:color="auto"/>
        <w:left w:val="none" w:sz="0" w:space="0" w:color="auto"/>
        <w:bottom w:val="none" w:sz="0" w:space="0" w:color="auto"/>
        <w:right w:val="none" w:sz="0" w:space="0" w:color="auto"/>
      </w:divBdr>
    </w:div>
    <w:div w:id="1303080323">
      <w:bodyDiv w:val="1"/>
      <w:marLeft w:val="0"/>
      <w:marRight w:val="0"/>
      <w:marTop w:val="0"/>
      <w:marBottom w:val="0"/>
      <w:divBdr>
        <w:top w:val="none" w:sz="0" w:space="0" w:color="auto"/>
        <w:left w:val="none" w:sz="0" w:space="0" w:color="auto"/>
        <w:bottom w:val="none" w:sz="0" w:space="0" w:color="auto"/>
        <w:right w:val="none" w:sz="0" w:space="0" w:color="auto"/>
      </w:divBdr>
      <w:divsChild>
        <w:div w:id="1842089090">
          <w:marLeft w:val="446"/>
          <w:marRight w:val="0"/>
          <w:marTop w:val="0"/>
          <w:marBottom w:val="0"/>
          <w:divBdr>
            <w:top w:val="none" w:sz="0" w:space="0" w:color="auto"/>
            <w:left w:val="none" w:sz="0" w:space="0" w:color="auto"/>
            <w:bottom w:val="none" w:sz="0" w:space="0" w:color="auto"/>
            <w:right w:val="none" w:sz="0" w:space="0" w:color="auto"/>
          </w:divBdr>
        </w:div>
        <w:div w:id="762412527">
          <w:marLeft w:val="446"/>
          <w:marRight w:val="0"/>
          <w:marTop w:val="0"/>
          <w:marBottom w:val="0"/>
          <w:divBdr>
            <w:top w:val="none" w:sz="0" w:space="0" w:color="auto"/>
            <w:left w:val="none" w:sz="0" w:space="0" w:color="auto"/>
            <w:bottom w:val="none" w:sz="0" w:space="0" w:color="auto"/>
            <w:right w:val="none" w:sz="0" w:space="0" w:color="auto"/>
          </w:divBdr>
        </w:div>
        <w:div w:id="1139955015">
          <w:marLeft w:val="446"/>
          <w:marRight w:val="0"/>
          <w:marTop w:val="0"/>
          <w:marBottom w:val="0"/>
          <w:divBdr>
            <w:top w:val="none" w:sz="0" w:space="0" w:color="auto"/>
            <w:left w:val="none" w:sz="0" w:space="0" w:color="auto"/>
            <w:bottom w:val="none" w:sz="0" w:space="0" w:color="auto"/>
            <w:right w:val="none" w:sz="0" w:space="0" w:color="auto"/>
          </w:divBdr>
        </w:div>
        <w:div w:id="809128404">
          <w:marLeft w:val="446"/>
          <w:marRight w:val="0"/>
          <w:marTop w:val="0"/>
          <w:marBottom w:val="0"/>
          <w:divBdr>
            <w:top w:val="none" w:sz="0" w:space="0" w:color="auto"/>
            <w:left w:val="none" w:sz="0" w:space="0" w:color="auto"/>
            <w:bottom w:val="none" w:sz="0" w:space="0" w:color="auto"/>
            <w:right w:val="none" w:sz="0" w:space="0" w:color="auto"/>
          </w:divBdr>
        </w:div>
        <w:div w:id="20133321">
          <w:marLeft w:val="446"/>
          <w:marRight w:val="0"/>
          <w:marTop w:val="0"/>
          <w:marBottom w:val="0"/>
          <w:divBdr>
            <w:top w:val="none" w:sz="0" w:space="0" w:color="auto"/>
            <w:left w:val="none" w:sz="0" w:space="0" w:color="auto"/>
            <w:bottom w:val="none" w:sz="0" w:space="0" w:color="auto"/>
            <w:right w:val="none" w:sz="0" w:space="0" w:color="auto"/>
          </w:divBdr>
        </w:div>
        <w:div w:id="390926239">
          <w:marLeft w:val="446"/>
          <w:marRight w:val="0"/>
          <w:marTop w:val="0"/>
          <w:marBottom w:val="0"/>
          <w:divBdr>
            <w:top w:val="none" w:sz="0" w:space="0" w:color="auto"/>
            <w:left w:val="none" w:sz="0" w:space="0" w:color="auto"/>
            <w:bottom w:val="none" w:sz="0" w:space="0" w:color="auto"/>
            <w:right w:val="none" w:sz="0" w:space="0" w:color="auto"/>
          </w:divBdr>
        </w:div>
      </w:divsChild>
    </w:div>
    <w:div w:id="1404521405">
      <w:bodyDiv w:val="1"/>
      <w:marLeft w:val="0"/>
      <w:marRight w:val="0"/>
      <w:marTop w:val="0"/>
      <w:marBottom w:val="0"/>
      <w:divBdr>
        <w:top w:val="none" w:sz="0" w:space="0" w:color="auto"/>
        <w:left w:val="none" w:sz="0" w:space="0" w:color="auto"/>
        <w:bottom w:val="none" w:sz="0" w:space="0" w:color="auto"/>
        <w:right w:val="none" w:sz="0" w:space="0" w:color="auto"/>
      </w:divBdr>
      <w:divsChild>
        <w:div w:id="1591818688">
          <w:marLeft w:val="547"/>
          <w:marRight w:val="0"/>
          <w:marTop w:val="0"/>
          <w:marBottom w:val="0"/>
          <w:divBdr>
            <w:top w:val="none" w:sz="0" w:space="0" w:color="auto"/>
            <w:left w:val="none" w:sz="0" w:space="0" w:color="auto"/>
            <w:bottom w:val="none" w:sz="0" w:space="0" w:color="auto"/>
            <w:right w:val="none" w:sz="0" w:space="0" w:color="auto"/>
          </w:divBdr>
        </w:div>
        <w:div w:id="1599365350">
          <w:marLeft w:val="547"/>
          <w:marRight w:val="0"/>
          <w:marTop w:val="0"/>
          <w:marBottom w:val="0"/>
          <w:divBdr>
            <w:top w:val="none" w:sz="0" w:space="0" w:color="auto"/>
            <w:left w:val="none" w:sz="0" w:space="0" w:color="auto"/>
            <w:bottom w:val="none" w:sz="0" w:space="0" w:color="auto"/>
            <w:right w:val="none" w:sz="0" w:space="0" w:color="auto"/>
          </w:divBdr>
        </w:div>
        <w:div w:id="726998759">
          <w:marLeft w:val="547"/>
          <w:marRight w:val="0"/>
          <w:marTop w:val="0"/>
          <w:marBottom w:val="0"/>
          <w:divBdr>
            <w:top w:val="none" w:sz="0" w:space="0" w:color="auto"/>
            <w:left w:val="none" w:sz="0" w:space="0" w:color="auto"/>
            <w:bottom w:val="none" w:sz="0" w:space="0" w:color="auto"/>
            <w:right w:val="none" w:sz="0" w:space="0" w:color="auto"/>
          </w:divBdr>
        </w:div>
        <w:div w:id="525367683">
          <w:marLeft w:val="547"/>
          <w:marRight w:val="0"/>
          <w:marTop w:val="0"/>
          <w:marBottom w:val="0"/>
          <w:divBdr>
            <w:top w:val="none" w:sz="0" w:space="0" w:color="auto"/>
            <w:left w:val="none" w:sz="0" w:space="0" w:color="auto"/>
            <w:bottom w:val="none" w:sz="0" w:space="0" w:color="auto"/>
            <w:right w:val="none" w:sz="0" w:space="0" w:color="auto"/>
          </w:divBdr>
        </w:div>
        <w:div w:id="1742631533">
          <w:marLeft w:val="547"/>
          <w:marRight w:val="0"/>
          <w:marTop w:val="0"/>
          <w:marBottom w:val="0"/>
          <w:divBdr>
            <w:top w:val="none" w:sz="0" w:space="0" w:color="auto"/>
            <w:left w:val="none" w:sz="0" w:space="0" w:color="auto"/>
            <w:bottom w:val="none" w:sz="0" w:space="0" w:color="auto"/>
            <w:right w:val="none" w:sz="0" w:space="0" w:color="auto"/>
          </w:divBdr>
        </w:div>
        <w:div w:id="1033728682">
          <w:marLeft w:val="547"/>
          <w:marRight w:val="0"/>
          <w:marTop w:val="0"/>
          <w:marBottom w:val="0"/>
          <w:divBdr>
            <w:top w:val="none" w:sz="0" w:space="0" w:color="auto"/>
            <w:left w:val="none" w:sz="0" w:space="0" w:color="auto"/>
            <w:bottom w:val="none" w:sz="0" w:space="0" w:color="auto"/>
            <w:right w:val="none" w:sz="0" w:space="0" w:color="auto"/>
          </w:divBdr>
        </w:div>
        <w:div w:id="1120756198">
          <w:marLeft w:val="547"/>
          <w:marRight w:val="0"/>
          <w:marTop w:val="0"/>
          <w:marBottom w:val="0"/>
          <w:divBdr>
            <w:top w:val="none" w:sz="0" w:space="0" w:color="auto"/>
            <w:left w:val="none" w:sz="0" w:space="0" w:color="auto"/>
            <w:bottom w:val="none" w:sz="0" w:space="0" w:color="auto"/>
            <w:right w:val="none" w:sz="0" w:space="0" w:color="auto"/>
          </w:divBdr>
        </w:div>
      </w:divsChild>
    </w:div>
    <w:div w:id="1500149956">
      <w:bodyDiv w:val="1"/>
      <w:marLeft w:val="0"/>
      <w:marRight w:val="0"/>
      <w:marTop w:val="0"/>
      <w:marBottom w:val="0"/>
      <w:divBdr>
        <w:top w:val="none" w:sz="0" w:space="0" w:color="auto"/>
        <w:left w:val="none" w:sz="0" w:space="0" w:color="auto"/>
        <w:bottom w:val="none" w:sz="0" w:space="0" w:color="auto"/>
        <w:right w:val="none" w:sz="0" w:space="0" w:color="auto"/>
      </w:divBdr>
    </w:div>
    <w:div w:id="1874268265">
      <w:bodyDiv w:val="1"/>
      <w:marLeft w:val="0"/>
      <w:marRight w:val="0"/>
      <w:marTop w:val="0"/>
      <w:marBottom w:val="0"/>
      <w:divBdr>
        <w:top w:val="none" w:sz="0" w:space="0" w:color="auto"/>
        <w:left w:val="none" w:sz="0" w:space="0" w:color="auto"/>
        <w:bottom w:val="none" w:sz="0" w:space="0" w:color="auto"/>
        <w:right w:val="none" w:sz="0" w:space="0" w:color="auto"/>
      </w:divBdr>
    </w:div>
    <w:div w:id="2070029210">
      <w:bodyDiv w:val="1"/>
      <w:marLeft w:val="0"/>
      <w:marRight w:val="0"/>
      <w:marTop w:val="0"/>
      <w:marBottom w:val="0"/>
      <w:divBdr>
        <w:top w:val="none" w:sz="0" w:space="0" w:color="auto"/>
        <w:left w:val="none" w:sz="0" w:space="0" w:color="auto"/>
        <w:bottom w:val="none" w:sz="0" w:space="0" w:color="auto"/>
        <w:right w:val="none" w:sz="0" w:space="0" w:color="auto"/>
      </w:divBdr>
    </w:div>
    <w:div w:id="2079551042">
      <w:bodyDiv w:val="1"/>
      <w:marLeft w:val="0"/>
      <w:marRight w:val="0"/>
      <w:marTop w:val="0"/>
      <w:marBottom w:val="0"/>
      <w:divBdr>
        <w:top w:val="none" w:sz="0" w:space="0" w:color="auto"/>
        <w:left w:val="none" w:sz="0" w:space="0" w:color="auto"/>
        <w:bottom w:val="none" w:sz="0" w:space="0" w:color="auto"/>
        <w:right w:val="none" w:sz="0" w:space="0" w:color="auto"/>
      </w:divBdr>
    </w:div>
    <w:div w:id="21141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xford.gov.uk/info/20174/suppliers_guide" TargetMode="External"/><Relationship Id="rId18" Type="http://schemas.openxmlformats.org/officeDocument/2006/relationships/image" Target="media/image4.png"/><Relationship Id="rId26" Type="http://schemas.openxmlformats.org/officeDocument/2006/relationships/hyperlink" Target="mailto:procurement@oxford.gov.uk" TargetMode="External"/><Relationship Id="rId39" Type="http://schemas.openxmlformats.org/officeDocument/2006/relationships/hyperlink" Target="https://www.legislation.gov.uk/ukpga/2010/15/contents" TargetMode="External"/><Relationship Id="rId3" Type="http://schemas.openxmlformats.org/officeDocument/2006/relationships/styles" Target="styles.xml"/><Relationship Id="rId21" Type="http://schemas.openxmlformats.org/officeDocument/2006/relationships/hyperlink" Target="https://www.oxford.gov.uk/info/20157/our_spending/336/our_spending_data" TargetMode="External"/><Relationship Id="rId34" Type="http://schemas.openxmlformats.org/officeDocument/2006/relationships/hyperlink" Target="http://occintranet/task/procurement-documents-and-templates/" TargetMode="External"/><Relationship Id="rId42" Type="http://schemas.openxmlformats.org/officeDocument/2006/relationships/image" Target="media/image12.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xford.gov.uk/info/20023/selling_to_the_council" TargetMode="External"/><Relationship Id="rId17" Type="http://schemas.openxmlformats.org/officeDocument/2006/relationships/image" Target="media/image3.png"/><Relationship Id="rId25" Type="http://schemas.openxmlformats.org/officeDocument/2006/relationships/hyperlink" Target="https://www.oxford.gov.uk/info/20356/equality_diversity_and_inclusion_strategy" TargetMode="External"/><Relationship Id="rId33" Type="http://schemas.openxmlformats.org/officeDocument/2006/relationships/hyperlink" Target="http://occintranet/task/procurement-documents-and-templates/" TargetMode="External"/><Relationship Id="rId38" Type="http://schemas.openxmlformats.org/officeDocument/2006/relationships/hyperlink" Target="http://occintranet/task/procurement-documents-and-template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powerbi.com/groups/me/reports/60ce4377-70fa-4827-991f-adeb657d7867/ReportSectionb21603ef657e62ced06e?pbi_source=PowerPoint" TargetMode="External"/><Relationship Id="rId20" Type="http://schemas.openxmlformats.org/officeDocument/2006/relationships/hyperlink" Target="https://www.oxford.gov.uk/info/20023/selling_to_the_council/97/council_contracts" TargetMode="External"/><Relationship Id="rId29" Type="http://schemas.openxmlformats.org/officeDocument/2006/relationships/image" Target="media/image7.png"/><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5.png"/><Relationship Id="rId32" Type="http://schemas.openxmlformats.org/officeDocument/2006/relationships/image" Target="media/image8.jfif"/><Relationship Id="rId37" Type="http://schemas.openxmlformats.org/officeDocument/2006/relationships/hyperlink" Target="http://sd.defra.gov.uk/advice/public/buying/" TargetMode="External"/><Relationship Id="rId40" Type="http://schemas.openxmlformats.org/officeDocument/2006/relationships/hyperlink" Target="https://www.oxford.gov.uk/info/20356/equality_diversity_and_inclusion_strategy" TargetMode="External"/><Relationship Id="rId45" Type="http://schemas.openxmlformats.org/officeDocument/2006/relationships/hyperlink" Target="http://occintranet/task/procurement-documents-and-templates/"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7.xml"/><Relationship Id="rId28" Type="http://schemas.openxmlformats.org/officeDocument/2006/relationships/image" Target="media/image6.png"/><Relationship Id="rId36" Type="http://schemas.openxmlformats.org/officeDocument/2006/relationships/image" Target="media/image10.jpeg"/><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hyperlink" Target="https://www.govcommercialcollege.co.uk/enrol/index.php?id=3" TargetMode="External"/><Relationship Id="rId44"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hyperlink" Target="http://occintranet/task/procurement-documents-and-templates/" TargetMode="External"/><Relationship Id="rId30" Type="http://schemas.openxmlformats.org/officeDocument/2006/relationships/hyperlink" Target="http://occintranet/task/procurement-documents-and-templates/" TargetMode="External"/><Relationship Id="rId35" Type="http://schemas.openxmlformats.org/officeDocument/2006/relationships/image" Target="media/image9.png"/><Relationship Id="rId43" Type="http://schemas.openxmlformats.org/officeDocument/2006/relationships/image" Target="media/image13.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occ.local\data\Facilities-Management\Procurement\Contracts%20Register\Contract%20Register%20Master\Additional%20Contract%20Register%20spreadsheets\Social%20Value%20Commitme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cc.local\data\Facilities-Management\Procurement\Contracts%20Register\Contract%20Register%20Master\Additional%20Contract%20Register%20spreadsheets\Social%20Value%20Commitme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occ.local\data\Facilities-Management\Procurement\Annette\OCC%20info\OCC%20info\Exemption%20requests\2019%20onwards%20graphic%20track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Recommended  SV Weighting as a % in the tender process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Recommended Weighting as a %</c:v>
                </c:pt>
              </c:strCache>
            </c:strRef>
          </c:tx>
          <c:spPr>
            <a:solidFill>
              <a:schemeClr val="accent1"/>
            </a:solidFill>
            <a:ln>
              <a:noFill/>
            </a:ln>
            <a:effectLst/>
          </c:spPr>
          <c:invertIfNegative val="0"/>
          <c:cat>
            <c:strRef>
              <c:f>Sheet1!$B$2:$C$2</c:f>
              <c:strCache>
                <c:ptCount val="2"/>
                <c:pt idx="0">
                  <c:v>2020-2021</c:v>
                </c:pt>
                <c:pt idx="1">
                  <c:v>2021-2022</c:v>
                </c:pt>
              </c:strCache>
            </c:strRef>
          </c:cat>
          <c:val>
            <c:numRef>
              <c:f>Sheet1!$B$3:$C$3</c:f>
              <c:numCache>
                <c:formatCode>General</c:formatCode>
                <c:ptCount val="2"/>
                <c:pt idx="0">
                  <c:v>5</c:v>
                </c:pt>
                <c:pt idx="1">
                  <c:v>10</c:v>
                </c:pt>
              </c:numCache>
            </c:numRef>
          </c:val>
        </c:ser>
        <c:dLbls>
          <c:showLegendKey val="0"/>
          <c:showVal val="0"/>
          <c:showCatName val="0"/>
          <c:showSerName val="0"/>
          <c:showPercent val="0"/>
          <c:showBubbleSize val="0"/>
        </c:dLbls>
        <c:gapWidth val="219"/>
        <c:overlap val="-27"/>
        <c:axId val="572566208"/>
        <c:axId val="572565424"/>
      </c:barChart>
      <c:catAx>
        <c:axId val="57256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5424"/>
        <c:crosses val="autoZero"/>
        <c:auto val="1"/>
        <c:lblAlgn val="ctr"/>
        <c:lblOffset val="100"/>
        <c:noMultiLvlLbl val="0"/>
      </c:catAx>
      <c:valAx>
        <c:axId val="57256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Number of recorded contracts with SV commitment</a:t>
            </a:r>
          </a:p>
        </c:rich>
      </c:tx>
      <c:layout>
        <c:manualLayout>
          <c:xMode val="edge"/>
          <c:yMode val="edge"/>
          <c:x val="9.1756600277906442E-2"/>
          <c:y val="3.349673202614378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c:f>
              <c:strCache>
                <c:ptCount val="1"/>
                <c:pt idx="0">
                  <c:v>Number of Contract recorded with SV Commitments</c:v>
                </c:pt>
              </c:strCache>
            </c:strRef>
          </c:tx>
          <c:spPr>
            <a:solidFill>
              <a:schemeClr val="accent1"/>
            </a:solidFill>
            <a:ln>
              <a:noFill/>
            </a:ln>
            <a:effectLst/>
          </c:spPr>
          <c:invertIfNegative val="0"/>
          <c:cat>
            <c:strRef>
              <c:f>Sheet1!$B$4:$C$4</c:f>
              <c:strCache>
                <c:ptCount val="2"/>
                <c:pt idx="0">
                  <c:v>2020-2021</c:v>
                </c:pt>
                <c:pt idx="1">
                  <c:v>2021-2022</c:v>
                </c:pt>
              </c:strCache>
            </c:strRef>
          </c:cat>
          <c:val>
            <c:numRef>
              <c:f>Sheet1!$B$5:$C$5</c:f>
              <c:numCache>
                <c:formatCode>General</c:formatCode>
                <c:ptCount val="2"/>
                <c:pt idx="0">
                  <c:v>11</c:v>
                </c:pt>
                <c:pt idx="1">
                  <c:v>45</c:v>
                </c:pt>
              </c:numCache>
            </c:numRef>
          </c:val>
        </c:ser>
        <c:dLbls>
          <c:showLegendKey val="0"/>
          <c:showVal val="0"/>
          <c:showCatName val="0"/>
          <c:showSerName val="0"/>
          <c:showPercent val="0"/>
          <c:showBubbleSize val="0"/>
        </c:dLbls>
        <c:gapWidth val="219"/>
        <c:overlap val="-27"/>
        <c:axId val="572566600"/>
        <c:axId val="572566992"/>
      </c:barChart>
      <c:catAx>
        <c:axId val="57256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6992"/>
        <c:crosses val="autoZero"/>
        <c:auto val="1"/>
        <c:lblAlgn val="ctr"/>
        <c:lblOffset val="100"/>
        <c:noMultiLvlLbl val="0"/>
      </c:catAx>
      <c:valAx>
        <c:axId val="57256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6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  SME</a:t>
            </a:r>
            <a:r>
              <a:rPr lang="en-GB" baseline="0"/>
              <a:t> suppliers 2022</a:t>
            </a:r>
            <a:endParaRPr lang="en-GB"/>
          </a:p>
        </c:rich>
      </c:tx>
      <c:layout>
        <c:manualLayout>
          <c:xMode val="edge"/>
          <c:yMode val="edge"/>
          <c:x val="0.41227077865266848"/>
          <c:y val="3.240740740740740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'[Book1]SME Graph'!$A$4:$A$5</c:f>
              <c:strCache>
                <c:ptCount val="2"/>
                <c:pt idx="0">
                  <c:v>Yes</c:v>
                </c:pt>
                <c:pt idx="1">
                  <c:v>No</c:v>
                </c:pt>
              </c:strCache>
            </c:strRef>
          </c:cat>
          <c:val>
            <c:numRef>
              <c:f>'[Book1]SME Graph'!$B$4:$B$5</c:f>
              <c:numCache>
                <c:formatCode>General</c:formatCode>
                <c:ptCount val="2"/>
                <c:pt idx="0">
                  <c:v>389</c:v>
                </c:pt>
                <c:pt idx="1">
                  <c:v>380</c:v>
                </c:pt>
              </c:numCache>
            </c:numRef>
          </c:val>
        </c:ser>
        <c:dLbls>
          <c:showLegendKey val="0"/>
          <c:showVal val="0"/>
          <c:showCatName val="0"/>
          <c:showSerName val="0"/>
          <c:showPercent val="0"/>
          <c:showBubbleSize val="0"/>
        </c:dLbls>
        <c:gapWidth val="150"/>
        <c:shape val="box"/>
        <c:axId val="572563856"/>
        <c:axId val="572564248"/>
        <c:axId val="0"/>
      </c:bar3DChart>
      <c:catAx>
        <c:axId val="572563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4248"/>
        <c:crosses val="autoZero"/>
        <c:auto val="1"/>
        <c:lblAlgn val="ctr"/>
        <c:lblOffset val="100"/>
        <c:noMultiLvlLbl val="0"/>
      </c:catAx>
      <c:valAx>
        <c:axId val="572564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Local Suppliers 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'[Book1]Local Supplier Graph'!$A$4:$A$5</c:f>
              <c:strCache>
                <c:ptCount val="2"/>
                <c:pt idx="0">
                  <c:v>Yes</c:v>
                </c:pt>
                <c:pt idx="1">
                  <c:v>No</c:v>
                </c:pt>
              </c:strCache>
            </c:strRef>
          </c:cat>
          <c:val>
            <c:numRef>
              <c:f>'[Book1]Local Supplier Graph'!$B$4:$B$5</c:f>
              <c:numCache>
                <c:formatCode>General</c:formatCode>
                <c:ptCount val="2"/>
                <c:pt idx="0">
                  <c:v>142</c:v>
                </c:pt>
                <c:pt idx="1">
                  <c:v>627</c:v>
                </c:pt>
              </c:numCache>
            </c:numRef>
          </c:val>
        </c:ser>
        <c:dLbls>
          <c:showLegendKey val="0"/>
          <c:showVal val="0"/>
          <c:showCatName val="0"/>
          <c:showSerName val="0"/>
          <c:showPercent val="0"/>
          <c:showBubbleSize val="0"/>
        </c:dLbls>
        <c:gapWidth val="150"/>
        <c:shape val="box"/>
        <c:axId val="572565032"/>
        <c:axId val="583388936"/>
        <c:axId val="0"/>
      </c:bar3DChart>
      <c:catAx>
        <c:axId val="572565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88936"/>
        <c:crosses val="autoZero"/>
        <c:auto val="1"/>
        <c:lblAlgn val="ctr"/>
        <c:lblOffset val="100"/>
        <c:noMultiLvlLbl val="0"/>
      </c:catAx>
      <c:valAx>
        <c:axId val="583388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65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Exemption Requests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Sheet1!$B$1:$B$2</c:f>
              <c:strCache>
                <c:ptCount val="2"/>
                <c:pt idx="0">
                  <c:v>OCC Exemptions</c:v>
                </c:pt>
                <c:pt idx="1">
                  <c:v>Approved</c:v>
                </c:pt>
              </c:strCache>
            </c:strRef>
          </c:tx>
          <c:spPr>
            <a:solidFill>
              <a:schemeClr val="accent1"/>
            </a:solidFill>
            <a:ln>
              <a:noFill/>
            </a:ln>
            <a:effectLst/>
            <a:sp3d/>
          </c:spPr>
          <c:invertIfNegative val="0"/>
          <c:cat>
            <c:strRef>
              <c:f>Sheet1!$A$3:$A$6</c:f>
              <c:strCache>
                <c:ptCount val="4"/>
                <c:pt idx="0">
                  <c:v>2019 - 2020</c:v>
                </c:pt>
                <c:pt idx="1">
                  <c:v>2020 - 2021</c:v>
                </c:pt>
                <c:pt idx="2">
                  <c:v>2021 - 2022</c:v>
                </c:pt>
                <c:pt idx="3">
                  <c:v>2022 - 2023</c:v>
                </c:pt>
              </c:strCache>
            </c:strRef>
          </c:cat>
          <c:val>
            <c:numRef>
              <c:f>Sheet1!$B$3:$B$6</c:f>
              <c:numCache>
                <c:formatCode>General</c:formatCode>
                <c:ptCount val="4"/>
                <c:pt idx="0">
                  <c:v>233</c:v>
                </c:pt>
                <c:pt idx="1">
                  <c:v>191</c:v>
                </c:pt>
                <c:pt idx="2">
                  <c:v>60</c:v>
                </c:pt>
                <c:pt idx="3">
                  <c:v>33</c:v>
                </c:pt>
              </c:numCache>
            </c:numRef>
          </c:val>
        </c:ser>
        <c:ser>
          <c:idx val="1"/>
          <c:order val="1"/>
          <c:tx>
            <c:strRef>
              <c:f>Sheet1!$C$1:$C$2</c:f>
              <c:strCache>
                <c:ptCount val="2"/>
                <c:pt idx="0">
                  <c:v>OCC Exemptions</c:v>
                </c:pt>
                <c:pt idx="1">
                  <c:v>Rejected</c:v>
                </c:pt>
              </c:strCache>
            </c:strRef>
          </c:tx>
          <c:spPr>
            <a:solidFill>
              <a:schemeClr val="accent2"/>
            </a:solidFill>
            <a:ln>
              <a:noFill/>
            </a:ln>
            <a:effectLst/>
            <a:sp3d/>
          </c:spPr>
          <c:invertIfNegative val="0"/>
          <c:cat>
            <c:strRef>
              <c:f>Sheet1!$A$3:$A$6</c:f>
              <c:strCache>
                <c:ptCount val="4"/>
                <c:pt idx="0">
                  <c:v>2019 - 2020</c:v>
                </c:pt>
                <c:pt idx="1">
                  <c:v>2020 - 2021</c:v>
                </c:pt>
                <c:pt idx="2">
                  <c:v>2021 - 2022</c:v>
                </c:pt>
                <c:pt idx="3">
                  <c:v>2022 - 2023</c:v>
                </c:pt>
              </c:strCache>
            </c:strRef>
          </c:cat>
          <c:val>
            <c:numRef>
              <c:f>Sheet1!$C$3:$C$6</c:f>
              <c:numCache>
                <c:formatCode>General</c:formatCode>
                <c:ptCount val="4"/>
                <c:pt idx="0">
                  <c:v>9</c:v>
                </c:pt>
                <c:pt idx="1">
                  <c:v>15</c:v>
                </c:pt>
                <c:pt idx="2">
                  <c:v>3</c:v>
                </c:pt>
              </c:numCache>
            </c:numRef>
          </c:val>
        </c:ser>
        <c:dLbls>
          <c:showLegendKey val="0"/>
          <c:showVal val="0"/>
          <c:showCatName val="0"/>
          <c:showSerName val="0"/>
          <c:showPercent val="0"/>
          <c:showBubbleSize val="0"/>
        </c:dLbls>
        <c:gapWidth val="150"/>
        <c:shape val="box"/>
        <c:axId val="583392072"/>
        <c:axId val="583388544"/>
        <c:axId val="0"/>
      </c:bar3DChart>
      <c:catAx>
        <c:axId val="583392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88544"/>
        <c:crosses val="autoZero"/>
        <c:auto val="1"/>
        <c:lblAlgn val="ctr"/>
        <c:lblOffset val="100"/>
        <c:noMultiLvlLbl val="0"/>
      </c:catAx>
      <c:valAx>
        <c:axId val="5833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92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SME!$B$1</c:f>
              <c:strCache>
                <c:ptCount val="1"/>
                <c:pt idx="0">
                  <c:v>SME spend % (minus ODSL &amp; OCHL)</c:v>
                </c:pt>
              </c:strCache>
            </c:strRef>
          </c:tx>
          <c:spPr>
            <a:solidFill>
              <a:schemeClr val="accent1"/>
            </a:solidFill>
            <a:ln>
              <a:noFill/>
            </a:ln>
            <a:effectLst/>
            <a:sp3d/>
          </c:spPr>
          <c:invertIfNegative val="0"/>
          <c:cat>
            <c:strRef>
              <c:f>SME!$A$2:$A$4</c:f>
              <c:strCache>
                <c:ptCount val="3"/>
                <c:pt idx="0">
                  <c:v>2019_2020</c:v>
                </c:pt>
                <c:pt idx="1">
                  <c:v>2020_2021</c:v>
                </c:pt>
                <c:pt idx="2">
                  <c:v>2021_2022</c:v>
                </c:pt>
              </c:strCache>
            </c:strRef>
          </c:cat>
          <c:val>
            <c:numRef>
              <c:f>SME!$B$2:$B$4</c:f>
              <c:numCache>
                <c:formatCode>0.00</c:formatCode>
                <c:ptCount val="3"/>
                <c:pt idx="0" formatCode="General">
                  <c:v>25.16</c:v>
                </c:pt>
                <c:pt idx="1">
                  <c:v>75.06</c:v>
                </c:pt>
                <c:pt idx="2" formatCode="General">
                  <c:v>63.51</c:v>
                </c:pt>
              </c:numCache>
            </c:numRef>
          </c:val>
        </c:ser>
        <c:dLbls>
          <c:showLegendKey val="0"/>
          <c:showVal val="0"/>
          <c:showCatName val="0"/>
          <c:showSerName val="0"/>
          <c:showPercent val="0"/>
          <c:showBubbleSize val="0"/>
        </c:dLbls>
        <c:gapWidth val="150"/>
        <c:shape val="box"/>
        <c:axId val="583389720"/>
        <c:axId val="583390112"/>
        <c:axId val="0"/>
      </c:bar3DChart>
      <c:catAx>
        <c:axId val="583389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90112"/>
        <c:crosses val="autoZero"/>
        <c:auto val="1"/>
        <c:lblAlgn val="ctr"/>
        <c:lblOffset val="100"/>
        <c:noMultiLvlLbl val="0"/>
      </c:catAx>
      <c:valAx>
        <c:axId val="58339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89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Local!$B$1</c:f>
              <c:strCache>
                <c:ptCount val="1"/>
                <c:pt idx="0">
                  <c:v>Local Spend %  (minus ODSL &amp; OCHL)</c:v>
                </c:pt>
              </c:strCache>
            </c:strRef>
          </c:tx>
          <c:spPr>
            <a:solidFill>
              <a:schemeClr val="accent1"/>
            </a:solidFill>
            <a:ln>
              <a:noFill/>
            </a:ln>
            <a:effectLst/>
            <a:sp3d/>
          </c:spPr>
          <c:invertIfNegative val="0"/>
          <c:cat>
            <c:strRef>
              <c:f>Local!$A$2:$A$4</c:f>
              <c:strCache>
                <c:ptCount val="3"/>
                <c:pt idx="0">
                  <c:v>2019_2020</c:v>
                </c:pt>
                <c:pt idx="1">
                  <c:v>2020_2021</c:v>
                </c:pt>
                <c:pt idx="2">
                  <c:v>2021_2022</c:v>
                </c:pt>
              </c:strCache>
            </c:strRef>
          </c:cat>
          <c:val>
            <c:numRef>
              <c:f>Local!$B$2:$B$4</c:f>
              <c:numCache>
                <c:formatCode>General</c:formatCode>
                <c:ptCount val="3"/>
                <c:pt idx="0">
                  <c:v>37.1</c:v>
                </c:pt>
                <c:pt idx="1">
                  <c:v>60.75</c:v>
                </c:pt>
                <c:pt idx="2">
                  <c:v>45.1</c:v>
                </c:pt>
              </c:numCache>
            </c:numRef>
          </c:val>
        </c:ser>
        <c:dLbls>
          <c:showLegendKey val="0"/>
          <c:showVal val="0"/>
          <c:showCatName val="0"/>
          <c:showSerName val="0"/>
          <c:showPercent val="0"/>
          <c:showBubbleSize val="0"/>
        </c:dLbls>
        <c:gapWidth val="150"/>
        <c:shape val="box"/>
        <c:axId val="583391288"/>
        <c:axId val="583391680"/>
        <c:axId val="0"/>
      </c:bar3DChart>
      <c:catAx>
        <c:axId val="583391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91680"/>
        <c:crosses val="autoZero"/>
        <c:auto val="1"/>
        <c:lblAlgn val="ctr"/>
        <c:lblOffset val="100"/>
        <c:noMultiLvlLbl val="0"/>
      </c:catAx>
      <c:valAx>
        <c:axId val="58339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91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F11C-37D6-4138-989F-89468D81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8215</Words>
  <Characters>46829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54935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Osborne</dc:creator>
  <cp:keywords/>
  <dc:description/>
  <cp:lastModifiedBy>Annette Osborne</cp:lastModifiedBy>
  <cp:revision>3</cp:revision>
  <dcterms:created xsi:type="dcterms:W3CDTF">2022-10-27T11:38:00Z</dcterms:created>
  <dcterms:modified xsi:type="dcterms:W3CDTF">2022-10-27T11:42:00Z</dcterms:modified>
</cp:coreProperties>
</file>